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CF4A48" w14:textId="706BA0B0" w:rsidR="00D40093" w:rsidRDefault="00BC089B" w:rsidP="00BC089B">
      <w:pPr>
        <w:pStyle w:val="Title"/>
        <w:tabs>
          <w:tab w:val="left" w:pos="2824"/>
          <w:tab w:val="center" w:pos="4680"/>
        </w:tabs>
        <w:rPr>
          <w:rFonts w:ascii="Times New Roman" w:hAnsi="Times New Roman" w:cs="Times New Roman"/>
          <w:b/>
          <w:sz w:val="28"/>
          <w:szCs w:val="28"/>
        </w:rPr>
      </w:pPr>
      <w:bookmarkStart w:id="0" w:name="_p58h7uc1vjl3" w:colFirst="0" w:colLast="0"/>
      <w:bookmarkEnd w:id="0"/>
      <w:r>
        <w:rPr>
          <w:rFonts w:ascii="Times New Roman" w:hAnsi="Times New Roman" w:cs="Times New Roman"/>
          <w:b/>
          <w:sz w:val="28"/>
          <w:szCs w:val="28"/>
        </w:rPr>
        <w:tab/>
      </w:r>
      <w:r>
        <w:rPr>
          <w:rFonts w:ascii="Times New Roman" w:hAnsi="Times New Roman" w:cs="Times New Roman"/>
          <w:b/>
          <w:sz w:val="28"/>
          <w:szCs w:val="28"/>
        </w:rPr>
        <w:tab/>
      </w:r>
      <w:r w:rsidRPr="005E585A">
        <w:rPr>
          <w:rFonts w:ascii="Times New Roman" w:hAnsi="Times New Roman" w:cs="Times New Roman"/>
          <w:b/>
          <w:sz w:val="28"/>
          <w:szCs w:val="28"/>
        </w:rPr>
        <w:t>Disability, Safety, and Sport</w:t>
      </w:r>
      <w:bookmarkStart w:id="1" w:name="_byya3v5e707o" w:colFirst="0" w:colLast="0"/>
      <w:bookmarkEnd w:id="1"/>
      <w:r w:rsidR="00D40093">
        <w:rPr>
          <w:rFonts w:ascii="Times New Roman" w:hAnsi="Times New Roman" w:cs="Times New Roman"/>
          <w:b/>
          <w:sz w:val="28"/>
          <w:szCs w:val="28"/>
        </w:rPr>
        <w:t xml:space="preserve">: </w:t>
      </w:r>
    </w:p>
    <w:p w14:paraId="672A6659" w14:textId="2273CEBF" w:rsidR="000D2261" w:rsidRDefault="00D40093" w:rsidP="00FC01DD">
      <w:pPr>
        <w:pStyle w:val="Title"/>
        <w:jc w:val="center"/>
        <w:rPr>
          <w:rFonts w:ascii="Times New Roman" w:hAnsi="Times New Roman" w:cs="Times New Roman"/>
          <w:b/>
          <w:sz w:val="28"/>
          <w:szCs w:val="28"/>
        </w:rPr>
      </w:pPr>
      <w:r w:rsidRPr="00D40093">
        <w:rPr>
          <w:rFonts w:ascii="Times New Roman" w:hAnsi="Times New Roman" w:cs="Times New Roman"/>
          <w:b/>
          <w:sz w:val="28"/>
          <w:szCs w:val="28"/>
        </w:rPr>
        <w:t>A Collective Entry to the Future of Sport in Canada Commission</w:t>
      </w:r>
    </w:p>
    <w:p w14:paraId="09221A6E" w14:textId="77777777" w:rsidR="00BC1031" w:rsidRDefault="00BC1031" w:rsidP="00713D72">
      <w:pPr>
        <w:rPr>
          <w:b/>
          <w:bCs/>
          <w:sz w:val="22"/>
          <w:szCs w:val="22"/>
          <w:lang w:val="en"/>
        </w:rPr>
      </w:pPr>
    </w:p>
    <w:p w14:paraId="490458F9" w14:textId="1D5CB896" w:rsidR="00713D72" w:rsidRPr="00BC1031" w:rsidRDefault="00713D72" w:rsidP="00713D72">
      <w:pPr>
        <w:rPr>
          <w:sz w:val="22"/>
          <w:szCs w:val="22"/>
          <w:lang w:val="en"/>
        </w:rPr>
      </w:pPr>
      <w:r w:rsidRPr="00BC1031">
        <w:rPr>
          <w:b/>
          <w:bCs/>
          <w:sz w:val="22"/>
          <w:szCs w:val="22"/>
          <w:lang w:val="en"/>
        </w:rPr>
        <w:t xml:space="preserve">Authors: </w:t>
      </w:r>
      <w:r w:rsidRPr="00BC1031">
        <w:rPr>
          <w:sz w:val="22"/>
          <w:szCs w:val="22"/>
          <w:lang w:val="en"/>
        </w:rPr>
        <w:t xml:space="preserve">Stephanie Dixon, Danielle Peers, Elisabeth Walker-Young, Andrea </w:t>
      </w:r>
      <w:proofErr w:type="spellStart"/>
      <w:r w:rsidRPr="00BC1031">
        <w:rPr>
          <w:sz w:val="22"/>
          <w:szCs w:val="22"/>
          <w:lang w:val="en"/>
        </w:rPr>
        <w:t>Bundon</w:t>
      </w:r>
      <w:proofErr w:type="spellEnd"/>
      <w:r w:rsidRPr="00BC1031">
        <w:rPr>
          <w:sz w:val="22"/>
          <w:szCs w:val="22"/>
          <w:lang w:val="en"/>
        </w:rPr>
        <w:t xml:space="preserve">, Tara Chisholm </w:t>
      </w:r>
    </w:p>
    <w:p w14:paraId="0A37501D" w14:textId="77777777" w:rsidR="000D2261" w:rsidRDefault="000D2261"/>
    <w:p w14:paraId="3CCCD1D1" w14:textId="79EBBAC8" w:rsidR="0011220C" w:rsidRPr="0011220C" w:rsidRDefault="00AC569A">
      <w:pPr>
        <w:rPr>
          <w:color w:val="000000"/>
          <w:shd w:val="clear" w:color="auto" w:fill="FFFFFF"/>
        </w:rPr>
      </w:pPr>
      <w:r>
        <w:rPr>
          <w:color w:val="000000"/>
          <w:shd w:val="clear" w:color="auto" w:fill="FFFFFF"/>
        </w:rPr>
        <w:t>D</w:t>
      </w:r>
      <w:r w:rsidR="00970C02" w:rsidRPr="0011220C">
        <w:rPr>
          <w:color w:val="000000"/>
          <w:shd w:val="clear" w:color="auto" w:fill="FFFFFF"/>
        </w:rPr>
        <w:t>ecision-makers in disability sport often do not have lived experience of disability</w:t>
      </w:r>
      <w:r w:rsidR="006B4E1A">
        <w:rPr>
          <w:color w:val="000000"/>
          <w:shd w:val="clear" w:color="auto" w:fill="FFFFFF"/>
        </w:rPr>
        <w:t xml:space="preserve">. Further, </w:t>
      </w:r>
      <w:r w:rsidR="00970C02" w:rsidRPr="0011220C">
        <w:rPr>
          <w:color w:val="000000"/>
          <w:shd w:val="clear" w:color="auto" w:fill="FFFFFF"/>
        </w:rPr>
        <w:t>the knowledges and expertise of disabled individuals are often not included in the decisions being made about them.</w:t>
      </w:r>
      <w:r w:rsidR="00970C02">
        <w:rPr>
          <w:color w:val="000000"/>
          <w:shd w:val="clear" w:color="auto" w:fill="FFFFFF"/>
        </w:rPr>
        <w:t xml:space="preserve"> </w:t>
      </w:r>
      <w:r w:rsidR="008072C3" w:rsidRPr="0011220C">
        <w:rPr>
          <w:color w:val="000000"/>
          <w:shd w:val="clear" w:color="auto" w:fill="FFFFFF"/>
        </w:rPr>
        <w:t>To date, minimal literature addresses disability-specific experiences of un</w:t>
      </w:r>
      <w:r w:rsidR="00707792">
        <w:rPr>
          <w:color w:val="000000"/>
          <w:shd w:val="clear" w:color="auto" w:fill="FFFFFF"/>
        </w:rPr>
        <w:t>-</w:t>
      </w:r>
      <w:r w:rsidR="008072C3" w:rsidRPr="0011220C">
        <w:rPr>
          <w:color w:val="000000"/>
          <w:shd w:val="clear" w:color="auto" w:fill="FFFFFF"/>
        </w:rPr>
        <w:t xml:space="preserve">safety in sport, and particularly those outside of the parasport context. </w:t>
      </w:r>
      <w:r w:rsidR="008072C3">
        <w:rPr>
          <w:color w:val="000000"/>
          <w:shd w:val="clear" w:color="auto" w:fill="FFFFFF"/>
        </w:rPr>
        <w:t>Safe sport initiatives and research often take concepts and measures applicable in non-disabled sport and apply it to disabled bodies and experiences.</w:t>
      </w:r>
      <w:r w:rsidR="00970C02">
        <w:rPr>
          <w:color w:val="000000"/>
          <w:shd w:val="clear" w:color="auto" w:fill="FFFFFF"/>
        </w:rPr>
        <w:t xml:space="preserve"> I</w:t>
      </w:r>
      <w:r w:rsidR="001002A1" w:rsidRPr="0011220C">
        <w:rPr>
          <w:color w:val="000000"/>
          <w:shd w:val="clear" w:color="auto" w:fill="FFFFFF"/>
        </w:rPr>
        <w:t>nitiatives across Canada aimed at creating safer</w:t>
      </w:r>
      <w:r w:rsidR="00970C02">
        <w:rPr>
          <w:color w:val="000000"/>
          <w:shd w:val="clear" w:color="auto" w:fill="FFFFFF"/>
        </w:rPr>
        <w:t xml:space="preserve"> s</w:t>
      </w:r>
      <w:r w:rsidR="001002A1" w:rsidRPr="0011220C">
        <w:rPr>
          <w:color w:val="000000"/>
          <w:shd w:val="clear" w:color="auto" w:fill="FFFFFF"/>
        </w:rPr>
        <w:t>por</w:t>
      </w:r>
      <w:r w:rsidR="00693C87">
        <w:rPr>
          <w:color w:val="000000"/>
          <w:shd w:val="clear" w:color="auto" w:fill="FFFFFF"/>
        </w:rPr>
        <w:t>t</w:t>
      </w:r>
      <w:r w:rsidR="001002A1" w:rsidRPr="0011220C">
        <w:rPr>
          <w:color w:val="000000"/>
          <w:shd w:val="clear" w:color="auto" w:fill="FFFFFF"/>
        </w:rPr>
        <w:t>ing experiences for all Canadians cannot be fully realized until disability-specific considerations, barriers, and experiences are included.</w:t>
      </w:r>
      <w:r w:rsidR="001002A1">
        <w:rPr>
          <w:color w:val="000000"/>
          <w:shd w:val="clear" w:color="auto" w:fill="FFFFFF"/>
        </w:rPr>
        <w:t xml:space="preserve"> </w:t>
      </w:r>
    </w:p>
    <w:p w14:paraId="0A9FF439" w14:textId="77777777" w:rsidR="008072C3" w:rsidRPr="005E585A" w:rsidRDefault="008072C3"/>
    <w:p w14:paraId="7BA0D5FF" w14:textId="17D76A2B" w:rsidR="0011220C" w:rsidRPr="00147F4D" w:rsidRDefault="33D725CC" w:rsidP="67155DE0">
      <w:pPr>
        <w:rPr>
          <w:rStyle w:val="apple-converted-space"/>
          <w:lang w:val="en-US"/>
        </w:rPr>
      </w:pPr>
      <w:r w:rsidRPr="005E585A">
        <w:rPr>
          <w:lang w:val="en-US"/>
        </w:rPr>
        <w:t xml:space="preserve">This </w:t>
      </w:r>
      <w:r w:rsidR="0011220C">
        <w:rPr>
          <w:lang w:val="en-US"/>
        </w:rPr>
        <w:t>paper</w:t>
      </w:r>
      <w:r w:rsidRPr="005E585A">
        <w:rPr>
          <w:lang w:val="en-US"/>
        </w:rPr>
        <w:t xml:space="preserve"> </w:t>
      </w:r>
      <w:r w:rsidR="00394AF0">
        <w:rPr>
          <w:lang w:val="en-US"/>
        </w:rPr>
        <w:t xml:space="preserve">was </w:t>
      </w:r>
      <w:r w:rsidR="00EA1F4F">
        <w:rPr>
          <w:lang w:val="en-US"/>
        </w:rPr>
        <w:t xml:space="preserve">originally </w:t>
      </w:r>
      <w:r w:rsidR="00394AF0">
        <w:rPr>
          <w:lang w:val="en-US"/>
        </w:rPr>
        <w:t xml:space="preserve">created as a submission to the Future of </w:t>
      </w:r>
      <w:r w:rsidR="00EA1F4F">
        <w:rPr>
          <w:lang w:val="en-US"/>
        </w:rPr>
        <w:t xml:space="preserve">Sport in Canada </w:t>
      </w:r>
      <w:r w:rsidR="00394AF0">
        <w:rPr>
          <w:lang w:val="en-US"/>
        </w:rPr>
        <w:t xml:space="preserve">Commission. </w:t>
      </w:r>
      <w:r w:rsidR="00A53A73">
        <w:rPr>
          <w:color w:val="000000"/>
        </w:rPr>
        <w:t xml:space="preserve">Authors of this document have had numerous roles in disability sport including as athletes, coaches, administrators, consultants, and academics. </w:t>
      </w:r>
      <w:r w:rsidR="00A53A73">
        <w:rPr>
          <w:rStyle w:val="apple-converted-space"/>
          <w:color w:val="000000"/>
          <w:shd w:val="clear" w:color="auto" w:fill="FFFFFF"/>
        </w:rPr>
        <w:t>T</w:t>
      </w:r>
      <w:r w:rsidR="00147F4D">
        <w:rPr>
          <w:rStyle w:val="apple-converted-space"/>
          <w:color w:val="000000"/>
          <w:shd w:val="clear" w:color="auto" w:fill="FFFFFF"/>
        </w:rPr>
        <w:t xml:space="preserve">wo </w:t>
      </w:r>
      <w:r w:rsidR="00A53A73">
        <w:rPr>
          <w:rStyle w:val="apple-converted-space"/>
          <w:color w:val="000000"/>
          <w:shd w:val="clear" w:color="auto" w:fill="FFFFFF"/>
        </w:rPr>
        <w:t xml:space="preserve">scholars from the Canadian Disability </w:t>
      </w:r>
      <w:r w:rsidR="00147F4D">
        <w:rPr>
          <w:rStyle w:val="apple-converted-space"/>
          <w:color w:val="000000"/>
          <w:shd w:val="clear" w:color="auto" w:fill="FFFFFF"/>
        </w:rPr>
        <w:t xml:space="preserve"> </w:t>
      </w:r>
      <w:r w:rsidR="00A53A73">
        <w:rPr>
          <w:rStyle w:val="apple-converted-space"/>
          <w:color w:val="000000"/>
          <w:shd w:val="clear" w:color="auto" w:fill="FFFFFF"/>
        </w:rPr>
        <w:t xml:space="preserve">Participation Project further reviewed the submission offering feedback and </w:t>
      </w:r>
      <w:r w:rsidR="00147F4D">
        <w:rPr>
          <w:rStyle w:val="apple-converted-space"/>
          <w:color w:val="000000"/>
          <w:shd w:val="clear" w:color="auto" w:fill="FFFFFF"/>
        </w:rPr>
        <w:t>support</w:t>
      </w:r>
      <w:r w:rsidR="00A53A73">
        <w:rPr>
          <w:rStyle w:val="apple-converted-space"/>
          <w:color w:val="000000"/>
          <w:shd w:val="clear" w:color="auto" w:fill="FFFFFF"/>
        </w:rPr>
        <w:t xml:space="preserve">. </w:t>
      </w:r>
    </w:p>
    <w:p w14:paraId="509FF75C" w14:textId="77777777" w:rsidR="00A53A73" w:rsidRDefault="00A53A73" w:rsidP="67155DE0">
      <w:pPr>
        <w:rPr>
          <w:color w:val="000000"/>
        </w:rPr>
      </w:pPr>
    </w:p>
    <w:p w14:paraId="63869913" w14:textId="40EF67F6" w:rsidR="00147F4D" w:rsidRPr="00147F4D" w:rsidRDefault="00A53A73" w:rsidP="67155DE0">
      <w:pPr>
        <w:rPr>
          <w:lang w:val="en-US"/>
        </w:rPr>
      </w:pPr>
      <w:r>
        <w:rPr>
          <w:color w:val="000000"/>
        </w:rPr>
        <w:t>C</w:t>
      </w:r>
      <w:r w:rsidR="00147F4D" w:rsidRPr="00147F4D">
        <w:rPr>
          <w:color w:val="000000"/>
        </w:rPr>
        <w:t>ollaborators</w:t>
      </w:r>
      <w:r w:rsidR="00147F4D">
        <w:rPr>
          <w:color w:val="000000"/>
        </w:rPr>
        <w:t xml:space="preserve"> were</w:t>
      </w:r>
      <w:r w:rsidR="00394AF0">
        <w:rPr>
          <w:color w:val="000000"/>
        </w:rPr>
        <w:t xml:space="preserve"> </w:t>
      </w:r>
      <w:r>
        <w:rPr>
          <w:color w:val="000000"/>
        </w:rPr>
        <w:t xml:space="preserve">invited </w:t>
      </w:r>
      <w:r w:rsidR="00147F4D" w:rsidRPr="00147F4D">
        <w:rPr>
          <w:color w:val="000000"/>
        </w:rPr>
        <w:t xml:space="preserve">to contribute at </w:t>
      </w:r>
      <w:r w:rsidR="00394AF0">
        <w:rPr>
          <w:color w:val="000000"/>
        </w:rPr>
        <w:t xml:space="preserve">their </w:t>
      </w:r>
      <w:r w:rsidR="00147F4D" w:rsidRPr="00147F4D">
        <w:rPr>
          <w:color w:val="000000"/>
        </w:rPr>
        <w:t xml:space="preserve">own pace, on </w:t>
      </w:r>
      <w:r w:rsidR="00394AF0">
        <w:rPr>
          <w:color w:val="000000"/>
        </w:rPr>
        <w:t>their</w:t>
      </w:r>
      <w:r w:rsidR="00147F4D" w:rsidRPr="00147F4D">
        <w:rPr>
          <w:color w:val="000000"/>
        </w:rPr>
        <w:t xml:space="preserve"> own time, and from </w:t>
      </w:r>
      <w:r w:rsidR="00394AF0">
        <w:rPr>
          <w:color w:val="000000"/>
        </w:rPr>
        <w:t>the place of their choosing. The invitation acknowledged the power, agency, and impact of c</w:t>
      </w:r>
      <w:r w:rsidR="00147F4D" w:rsidRPr="00147F4D">
        <w:rPr>
          <w:color w:val="000000"/>
        </w:rPr>
        <w:t>ollaborative wor</w:t>
      </w:r>
      <w:r w:rsidR="00551EDB">
        <w:rPr>
          <w:color w:val="000000"/>
        </w:rPr>
        <w:t>k and t</w:t>
      </w:r>
      <w:r w:rsidR="00394AF0">
        <w:rPr>
          <w:color w:val="000000"/>
        </w:rPr>
        <w:t xml:space="preserve">he intention </w:t>
      </w:r>
      <w:r w:rsidR="00551EDB">
        <w:rPr>
          <w:color w:val="000000"/>
        </w:rPr>
        <w:t>of</w:t>
      </w:r>
      <w:r w:rsidR="00394AF0">
        <w:rPr>
          <w:color w:val="000000"/>
        </w:rPr>
        <w:t xml:space="preserve"> creat</w:t>
      </w:r>
      <w:r w:rsidR="00551EDB">
        <w:rPr>
          <w:color w:val="000000"/>
        </w:rPr>
        <w:t xml:space="preserve">ing </w:t>
      </w:r>
      <w:r w:rsidR="00394AF0">
        <w:rPr>
          <w:color w:val="000000"/>
        </w:rPr>
        <w:t xml:space="preserve">a space </w:t>
      </w:r>
      <w:r w:rsidR="00147F4D" w:rsidRPr="00147F4D">
        <w:rPr>
          <w:color w:val="000000"/>
        </w:rPr>
        <w:t>where all members f</w:t>
      </w:r>
      <w:r w:rsidR="00394AF0">
        <w:rPr>
          <w:color w:val="000000"/>
        </w:rPr>
        <w:t>elt</w:t>
      </w:r>
      <w:r w:rsidR="00147F4D" w:rsidRPr="00147F4D">
        <w:rPr>
          <w:color w:val="000000"/>
        </w:rPr>
        <w:t xml:space="preserve"> welcome, affirmed, and able to consensually contribute in ways that feel meaningful for them</w:t>
      </w:r>
      <w:r w:rsidR="00394AF0">
        <w:rPr>
          <w:color w:val="000000"/>
        </w:rPr>
        <w:t xml:space="preserve">. </w:t>
      </w:r>
      <w:r w:rsidR="00551EDB">
        <w:rPr>
          <w:color w:val="000000"/>
        </w:rPr>
        <w:t>C</w:t>
      </w:r>
      <w:r w:rsidR="00147F4D" w:rsidRPr="00147F4D">
        <w:rPr>
          <w:color w:val="000000"/>
        </w:rPr>
        <w:t>ommunity building and mutual flourishing</w:t>
      </w:r>
      <w:r w:rsidR="00551EDB">
        <w:rPr>
          <w:color w:val="000000"/>
        </w:rPr>
        <w:t xml:space="preserve"> were also desired outcomes</w:t>
      </w:r>
      <w:r w:rsidR="00147F4D" w:rsidRPr="00147F4D">
        <w:rPr>
          <w:color w:val="000000"/>
        </w:rPr>
        <w:t xml:space="preserve">. </w:t>
      </w:r>
      <w:r w:rsidR="00551EDB">
        <w:rPr>
          <w:color w:val="000000"/>
        </w:rPr>
        <w:t>The invitation also</w:t>
      </w:r>
      <w:r w:rsidR="00394AF0">
        <w:rPr>
          <w:color w:val="000000"/>
        </w:rPr>
        <w:t xml:space="preserve"> named the risk that despite good intentions, collective work can </w:t>
      </w:r>
      <w:r w:rsidR="00147F4D" w:rsidRPr="00147F4D">
        <w:rPr>
          <w:color w:val="000000"/>
        </w:rPr>
        <w:t xml:space="preserve">also </w:t>
      </w:r>
      <w:r w:rsidR="00394AF0">
        <w:rPr>
          <w:color w:val="000000"/>
        </w:rPr>
        <w:t xml:space="preserve">create a </w:t>
      </w:r>
      <w:r w:rsidR="00147F4D" w:rsidRPr="00147F4D">
        <w:rPr>
          <w:color w:val="000000"/>
        </w:rPr>
        <w:t xml:space="preserve">space </w:t>
      </w:r>
      <w:r w:rsidR="00394AF0">
        <w:rPr>
          <w:color w:val="000000"/>
        </w:rPr>
        <w:t>with</w:t>
      </w:r>
      <w:r w:rsidR="00147F4D" w:rsidRPr="00147F4D">
        <w:rPr>
          <w:color w:val="000000"/>
        </w:rPr>
        <w:t xml:space="preserve"> dissenting or differing views, dynamics of power, and possib</w:t>
      </w:r>
      <w:r w:rsidR="00394AF0">
        <w:rPr>
          <w:color w:val="000000"/>
        </w:rPr>
        <w:t>le</w:t>
      </w:r>
      <w:r w:rsidR="00147F4D" w:rsidRPr="00147F4D">
        <w:rPr>
          <w:color w:val="000000"/>
        </w:rPr>
        <w:t xml:space="preserve"> experience</w:t>
      </w:r>
      <w:r w:rsidR="00394AF0">
        <w:rPr>
          <w:color w:val="000000"/>
        </w:rPr>
        <w:t>s of</w:t>
      </w:r>
      <w:r w:rsidR="00147F4D" w:rsidRPr="00147F4D">
        <w:rPr>
          <w:color w:val="000000"/>
        </w:rPr>
        <w:t xml:space="preserve"> discomfort, tension, activation, hurt, and harm.</w:t>
      </w:r>
      <w:r w:rsidR="00394AF0">
        <w:rPr>
          <w:color w:val="000000"/>
        </w:rPr>
        <w:t xml:space="preserve"> Processes of accountability were outline</w:t>
      </w:r>
      <w:r w:rsidR="00551EDB">
        <w:rPr>
          <w:color w:val="000000"/>
        </w:rPr>
        <w:t>d</w:t>
      </w:r>
      <w:r w:rsidR="00394AF0">
        <w:rPr>
          <w:color w:val="000000"/>
        </w:rPr>
        <w:t xml:space="preserve"> and each</w:t>
      </w:r>
      <w:r w:rsidR="00551EDB">
        <w:rPr>
          <w:color w:val="000000"/>
        </w:rPr>
        <w:t xml:space="preserve"> author</w:t>
      </w:r>
      <w:r w:rsidR="00394AF0">
        <w:rPr>
          <w:color w:val="000000"/>
        </w:rPr>
        <w:t xml:space="preserve"> contributed and consented to the collective acknowledgments and agreements. </w:t>
      </w:r>
    </w:p>
    <w:p w14:paraId="4EE1159C" w14:textId="77777777" w:rsidR="0011220C" w:rsidRDefault="0011220C" w:rsidP="67155DE0">
      <w:pPr>
        <w:rPr>
          <w:lang w:val="en-US"/>
        </w:rPr>
      </w:pPr>
    </w:p>
    <w:p w14:paraId="41C7CAAA" w14:textId="503C6B75" w:rsidR="000D2261" w:rsidRPr="005E585A" w:rsidRDefault="0072736C" w:rsidP="67155DE0">
      <w:pPr>
        <w:rPr>
          <w:lang w:val="en-US"/>
        </w:rPr>
      </w:pPr>
      <w:r>
        <w:rPr>
          <w:lang w:val="en-US"/>
        </w:rPr>
        <w:t>Our</w:t>
      </w:r>
      <w:r w:rsidR="00394AF0">
        <w:rPr>
          <w:lang w:val="en-US"/>
        </w:rPr>
        <w:t xml:space="preserve"> paper </w:t>
      </w:r>
      <w:r w:rsidR="33D725CC" w:rsidRPr="005E585A">
        <w:rPr>
          <w:lang w:val="en-US"/>
        </w:rPr>
        <w:t>begin</w:t>
      </w:r>
      <w:r w:rsidR="00394AF0">
        <w:rPr>
          <w:lang w:val="en-US"/>
        </w:rPr>
        <w:t>s</w:t>
      </w:r>
      <w:r w:rsidR="33D725CC" w:rsidRPr="005E585A">
        <w:rPr>
          <w:lang w:val="en-US"/>
        </w:rPr>
        <w:t xml:space="preserve"> with some short context on disability and disability sport in Canada, given that many who make decisions about our sporting opportunities may not understand the contexts in and through which we access sport. We then outline some kinds of sport safety concerns that are specific to disability, and offer some recommendations for the commis</w:t>
      </w:r>
      <w:r w:rsidR="74C56229" w:rsidRPr="005E585A">
        <w:rPr>
          <w:lang w:val="en-US"/>
        </w:rPr>
        <w:t>s</w:t>
      </w:r>
      <w:r w:rsidR="33D725CC" w:rsidRPr="005E585A">
        <w:rPr>
          <w:lang w:val="en-US"/>
        </w:rPr>
        <w:t>ion</w:t>
      </w:r>
      <w:r>
        <w:rPr>
          <w:lang w:val="en-US"/>
        </w:rPr>
        <w:t xml:space="preserve"> and broader sport community</w:t>
      </w:r>
      <w:r w:rsidR="33D725CC" w:rsidRPr="005E585A">
        <w:rPr>
          <w:lang w:val="en-US"/>
        </w:rPr>
        <w:t>.</w:t>
      </w:r>
    </w:p>
    <w:p w14:paraId="069A9D29" w14:textId="77777777" w:rsidR="00E4004B" w:rsidRPr="005E585A" w:rsidRDefault="00000000">
      <w:pPr>
        <w:pStyle w:val="Heading2"/>
        <w:jc w:val="center"/>
        <w:rPr>
          <w:rFonts w:ascii="Times New Roman" w:hAnsi="Times New Roman" w:cs="Times New Roman"/>
          <w:b/>
          <w:sz w:val="28"/>
          <w:szCs w:val="28"/>
        </w:rPr>
      </w:pPr>
      <w:bookmarkStart w:id="2" w:name="_rxs9upvna9um" w:colFirst="0" w:colLast="0"/>
      <w:bookmarkEnd w:id="2"/>
      <w:r w:rsidRPr="005E585A">
        <w:rPr>
          <w:rFonts w:ascii="Times New Roman" w:hAnsi="Times New Roman" w:cs="Times New Roman"/>
          <w:b/>
          <w:sz w:val="28"/>
          <w:szCs w:val="28"/>
        </w:rPr>
        <w:t>Disability</w:t>
      </w:r>
      <w:r w:rsidR="00E4004B" w:rsidRPr="005E585A">
        <w:rPr>
          <w:rFonts w:ascii="Times New Roman" w:hAnsi="Times New Roman" w:cs="Times New Roman"/>
          <w:b/>
          <w:sz w:val="28"/>
          <w:szCs w:val="28"/>
          <w:vertAlign w:val="superscript"/>
        </w:rPr>
        <w:endnoteReference w:id="1"/>
      </w:r>
      <w:r w:rsidR="00E4004B" w:rsidRPr="005E585A">
        <w:rPr>
          <w:rFonts w:ascii="Times New Roman" w:hAnsi="Times New Roman" w:cs="Times New Roman"/>
          <w:b/>
          <w:sz w:val="28"/>
          <w:szCs w:val="28"/>
        </w:rPr>
        <w:t xml:space="preserve"> in Canada- Key Context</w:t>
      </w:r>
    </w:p>
    <w:p w14:paraId="490D0682" w14:textId="77777777" w:rsidR="00E4004B" w:rsidRPr="005E585A" w:rsidRDefault="00E4004B">
      <w:pPr>
        <w:pStyle w:val="Heading2"/>
        <w:rPr>
          <w:rFonts w:ascii="Times New Roman" w:hAnsi="Times New Roman" w:cs="Times New Roman"/>
          <w:sz w:val="24"/>
          <w:szCs w:val="24"/>
          <w:highlight w:val="white"/>
        </w:rPr>
      </w:pPr>
      <w:bookmarkStart w:id="3" w:name="_ytt4zevrz0zj" w:colFirst="0" w:colLast="0"/>
      <w:bookmarkEnd w:id="3"/>
      <w:r w:rsidRPr="005E585A">
        <w:rPr>
          <w:rFonts w:ascii="Times New Roman" w:hAnsi="Times New Roman" w:cs="Times New Roman"/>
          <w:b/>
          <w:sz w:val="24"/>
          <w:szCs w:val="24"/>
          <w:highlight w:val="white"/>
        </w:rPr>
        <w:t>27% (8 million) of Canadians over 15 years have at least one disability</w:t>
      </w:r>
      <w:r w:rsidRPr="005E585A">
        <w:rPr>
          <w:rFonts w:ascii="Times New Roman" w:hAnsi="Times New Roman" w:cs="Times New Roman"/>
          <w:sz w:val="24"/>
          <w:szCs w:val="24"/>
          <w:highlight w:val="white"/>
        </w:rPr>
        <w:t>.</w:t>
      </w:r>
      <w:r w:rsidRPr="005E585A">
        <w:rPr>
          <w:rFonts w:ascii="Times New Roman" w:hAnsi="Times New Roman" w:cs="Times New Roman"/>
          <w:sz w:val="24"/>
          <w:szCs w:val="24"/>
          <w:highlight w:val="white"/>
          <w:vertAlign w:val="superscript"/>
        </w:rPr>
        <w:endnoteReference w:id="2"/>
      </w:r>
      <w:r w:rsidRPr="005E585A">
        <w:rPr>
          <w:rFonts w:ascii="Times New Roman" w:hAnsi="Times New Roman" w:cs="Times New Roman"/>
          <w:sz w:val="24"/>
          <w:szCs w:val="24"/>
          <w:highlight w:val="white"/>
        </w:rPr>
        <w:t xml:space="preserve"> This is a low estimate, “Since the census excludes the institutionalized population and those living in other collective dwellings” like group homes, hospitals, and assisted living; they also exclude “the population living on First Nation reserves.”</w:t>
      </w:r>
      <w:r w:rsidRPr="005E585A">
        <w:rPr>
          <w:rFonts w:ascii="Times New Roman" w:hAnsi="Times New Roman" w:cs="Times New Roman"/>
          <w:sz w:val="24"/>
          <w:szCs w:val="24"/>
          <w:highlight w:val="white"/>
          <w:vertAlign w:val="superscript"/>
        </w:rPr>
        <w:endnoteReference w:id="3"/>
      </w:r>
      <w:r w:rsidRPr="005E585A">
        <w:rPr>
          <w:rFonts w:ascii="Times New Roman" w:hAnsi="Times New Roman" w:cs="Times New Roman"/>
          <w:sz w:val="24"/>
          <w:szCs w:val="24"/>
          <w:highlight w:val="white"/>
        </w:rPr>
        <w:t xml:space="preserve"> </w:t>
      </w:r>
    </w:p>
    <w:p w14:paraId="524571F5" w14:textId="77777777" w:rsidR="00E4004B" w:rsidRPr="005E585A" w:rsidRDefault="74C56229" w:rsidP="67155DE0">
      <w:pPr>
        <w:rPr>
          <w:highlight w:val="white"/>
          <w:lang w:val="en-US"/>
        </w:rPr>
      </w:pPr>
      <w:r w:rsidRPr="005E585A">
        <w:rPr>
          <w:b/>
          <w:bCs/>
          <w:highlight w:val="white"/>
          <w:lang w:val="en-US"/>
        </w:rPr>
        <w:t>20% of Canadian youth (ages 15-24) experience disabilities, including 25% of young women and girls.</w:t>
      </w:r>
      <w:r w:rsidRPr="005E585A">
        <w:rPr>
          <w:highlight w:val="white"/>
          <w:lang w:val="en-US"/>
        </w:rPr>
        <w:t xml:space="preserve"> Rates increase with age. The vast majority of Canadians will experience </w:t>
      </w:r>
      <w:r w:rsidRPr="005E585A">
        <w:rPr>
          <w:highlight w:val="white"/>
          <w:lang w:val="en-US"/>
        </w:rPr>
        <w:lastRenderedPageBreak/>
        <w:t>disability within their lifetime. Canada does not collect detailed disability statistics below 15 years old.</w:t>
      </w:r>
      <w:r w:rsidR="00E4004B" w:rsidRPr="005E585A">
        <w:rPr>
          <w:highlight w:val="white"/>
          <w:vertAlign w:val="superscript"/>
          <w:lang w:val="en-US"/>
        </w:rPr>
        <w:endnoteReference w:id="4"/>
      </w:r>
    </w:p>
    <w:p w14:paraId="5DAB6C7B" w14:textId="77777777" w:rsidR="00E4004B" w:rsidRPr="005E585A" w:rsidRDefault="00E4004B">
      <w:pPr>
        <w:rPr>
          <w:b/>
          <w:highlight w:val="white"/>
        </w:rPr>
      </w:pPr>
    </w:p>
    <w:p w14:paraId="46E03FD7" w14:textId="774E0C7E" w:rsidR="00E4004B" w:rsidRPr="005E585A" w:rsidRDefault="74C56229" w:rsidP="67155DE0">
      <w:pPr>
        <w:rPr>
          <w:highlight w:val="white"/>
          <w:lang w:val="en-US"/>
        </w:rPr>
      </w:pPr>
      <w:r w:rsidRPr="005E585A">
        <w:rPr>
          <w:b/>
          <w:bCs/>
          <w:highlight w:val="white"/>
          <w:lang w:val="en-US"/>
        </w:rPr>
        <w:t>71% of people with disabilities have two or more types of disability.</w:t>
      </w:r>
      <w:r w:rsidR="00E4004B" w:rsidRPr="005E585A">
        <w:rPr>
          <w:b/>
          <w:bCs/>
          <w:highlight w:val="white"/>
          <w:vertAlign w:val="superscript"/>
          <w:lang w:val="en-US"/>
        </w:rPr>
        <w:endnoteReference w:id="5"/>
      </w:r>
      <w:r w:rsidRPr="005E585A">
        <w:rPr>
          <w:b/>
          <w:bCs/>
          <w:highlight w:val="white"/>
          <w:lang w:val="en-US"/>
        </w:rPr>
        <w:t xml:space="preserve"> The most common disability types include</w:t>
      </w:r>
      <w:r w:rsidR="00724062">
        <w:rPr>
          <w:b/>
          <w:bCs/>
          <w:highlight w:val="white"/>
          <w:lang w:val="en-US"/>
        </w:rPr>
        <w:t>:</w:t>
      </w:r>
      <w:r w:rsidR="00E4004B" w:rsidRPr="005E585A">
        <w:rPr>
          <w:b/>
          <w:bCs/>
          <w:highlight w:val="white"/>
          <w:vertAlign w:val="superscript"/>
          <w:lang w:val="en-US"/>
        </w:rPr>
        <w:endnoteReference w:id="6"/>
      </w:r>
      <w:r w:rsidRPr="005E585A">
        <w:rPr>
          <w:b/>
          <w:bCs/>
          <w:highlight w:val="white"/>
          <w:lang w:val="en-US"/>
        </w:rPr>
        <w:t xml:space="preserve"> </w:t>
      </w:r>
      <w:r w:rsidRPr="005E585A">
        <w:rPr>
          <w:highlight w:val="white"/>
          <w:lang w:val="en-US"/>
        </w:rPr>
        <w:t>Physical (mobility, flexibility and dexterity =27%, collectively); Pain-related (17%); Cognitive (learning, memory and developmental=12% collectively); Mental Health (10%); Seeing (7.4%); Hearing (5.6%). Many of these types of disability are “invisible,” that is, not readily apparent to outsiders, (e.g., mental health, learning, pain, or hard of hearing).</w:t>
      </w:r>
    </w:p>
    <w:p w14:paraId="02EB378F" w14:textId="77777777" w:rsidR="00E4004B" w:rsidRPr="005E585A" w:rsidRDefault="00E4004B">
      <w:pPr>
        <w:ind w:left="720"/>
        <w:rPr>
          <w:highlight w:val="white"/>
        </w:rPr>
      </w:pPr>
    </w:p>
    <w:p w14:paraId="010EEAB3" w14:textId="77777777" w:rsidR="00E4004B" w:rsidRPr="005E585A" w:rsidRDefault="74C56229" w:rsidP="67155DE0">
      <w:pPr>
        <w:rPr>
          <w:highlight w:val="white"/>
          <w:lang w:val="en-US"/>
        </w:rPr>
      </w:pPr>
      <w:r w:rsidRPr="005E585A">
        <w:rPr>
          <w:b/>
          <w:bCs/>
          <w:lang w:val="en-US"/>
        </w:rPr>
        <w:t>Canadians with disabilities experience poverty at twice the national rate (1 in 6)</w:t>
      </w:r>
      <w:r w:rsidRPr="005E585A">
        <w:rPr>
          <w:lang w:val="en-US"/>
        </w:rPr>
        <w:t>.</w:t>
      </w:r>
      <w:r w:rsidR="00E4004B" w:rsidRPr="00724062">
        <w:rPr>
          <w:b/>
          <w:bCs/>
          <w:vertAlign w:val="superscript"/>
          <w:lang w:val="en-US"/>
        </w:rPr>
        <w:endnoteReference w:id="7"/>
      </w:r>
      <w:r w:rsidRPr="00724062">
        <w:rPr>
          <w:b/>
          <w:bCs/>
          <w:lang w:val="en-US"/>
        </w:rPr>
        <w:t xml:space="preserve"> </w:t>
      </w:r>
      <w:r w:rsidRPr="005E585A">
        <w:rPr>
          <w:lang w:val="en-US"/>
        </w:rPr>
        <w:t xml:space="preserve">And also, </w:t>
      </w:r>
      <w:r w:rsidRPr="005E585A">
        <w:rPr>
          <w:highlight w:val="white"/>
          <w:lang w:val="en-US"/>
        </w:rPr>
        <w:t>people who experience discrimination and poverty are far more likely to acquire disabilities</w:t>
      </w:r>
      <w:r w:rsidRPr="005E585A">
        <w:rPr>
          <w:b/>
          <w:bCs/>
          <w:highlight w:val="white"/>
          <w:lang w:val="en-US"/>
        </w:rPr>
        <w:t xml:space="preserve">. </w:t>
      </w:r>
      <w:r w:rsidRPr="005E585A">
        <w:rPr>
          <w:highlight w:val="white"/>
          <w:lang w:val="en-US"/>
        </w:rPr>
        <w:t>(e.g., women have higher rates than men, and Indigenous and Black women have even higher rates).</w:t>
      </w:r>
      <w:r w:rsidR="00E4004B" w:rsidRPr="005E585A">
        <w:rPr>
          <w:highlight w:val="white"/>
          <w:vertAlign w:val="superscript"/>
          <w:lang w:val="en-US"/>
        </w:rPr>
        <w:endnoteReference w:id="8"/>
      </w:r>
      <w:r w:rsidRPr="005E585A">
        <w:rPr>
          <w:highlight w:val="white"/>
          <w:lang w:val="en-US"/>
        </w:rPr>
        <w:t xml:space="preserve"> Causes include: less access to safe food, water, air, and housing; unaffordable or discriminatory healthcare; less safe labour conditions; the health impacts of discrimination-related stress, trauma, violence and assault</w:t>
      </w:r>
      <w:r w:rsidRPr="005E585A">
        <w:rPr>
          <w:lang w:val="en-US"/>
        </w:rPr>
        <w:t>.</w:t>
      </w:r>
      <w:r w:rsidR="00E4004B" w:rsidRPr="005E585A">
        <w:rPr>
          <w:vertAlign w:val="superscript"/>
          <w:lang w:val="en-US"/>
        </w:rPr>
        <w:endnoteReference w:id="9"/>
      </w:r>
    </w:p>
    <w:p w14:paraId="6A05A809" w14:textId="77777777" w:rsidR="00E4004B" w:rsidRPr="005E585A" w:rsidRDefault="00E4004B">
      <w:pPr>
        <w:rPr>
          <w:b/>
          <w:highlight w:val="white"/>
        </w:rPr>
      </w:pPr>
    </w:p>
    <w:p w14:paraId="158395CA" w14:textId="77777777" w:rsidR="00E4004B" w:rsidRPr="005E585A" w:rsidRDefault="74C56229" w:rsidP="67155DE0">
      <w:pPr>
        <w:rPr>
          <w:lang w:val="en-US"/>
        </w:rPr>
      </w:pPr>
      <w:r w:rsidRPr="005E585A">
        <w:rPr>
          <w:b/>
          <w:bCs/>
          <w:highlight w:val="white"/>
          <w:lang w:val="en-US"/>
        </w:rPr>
        <w:t>People with disabilities experience some of the highest levels of discrimination, poverty, and abuse in Canada.</w:t>
      </w:r>
      <w:r w:rsidR="00E4004B" w:rsidRPr="005E585A">
        <w:rPr>
          <w:b/>
          <w:bCs/>
          <w:highlight w:val="white"/>
          <w:vertAlign w:val="superscript"/>
          <w:lang w:val="en-US"/>
        </w:rPr>
        <w:endnoteReference w:id="10"/>
      </w:r>
      <w:r w:rsidRPr="005E585A">
        <w:rPr>
          <w:b/>
          <w:bCs/>
          <w:highlight w:val="white"/>
          <w:lang w:val="en-US"/>
        </w:rPr>
        <w:t xml:space="preserve"> </w:t>
      </w:r>
      <w:r w:rsidRPr="005E585A">
        <w:rPr>
          <w:lang w:val="en-US"/>
        </w:rPr>
        <w:t xml:space="preserve">Disability-related discrimination complaints </w:t>
      </w:r>
      <w:r w:rsidRPr="005E585A">
        <w:rPr>
          <w:highlight w:val="white"/>
          <w:lang w:val="en-US"/>
        </w:rPr>
        <w:t>(e.g., ableism</w:t>
      </w:r>
      <w:r w:rsidR="00E4004B" w:rsidRPr="005E585A">
        <w:rPr>
          <w:highlight w:val="white"/>
          <w:vertAlign w:val="superscript"/>
          <w:lang w:val="en-US"/>
        </w:rPr>
        <w:endnoteReference w:id="11"/>
      </w:r>
      <w:r w:rsidRPr="005E585A">
        <w:rPr>
          <w:highlight w:val="white"/>
          <w:lang w:val="en-US"/>
        </w:rPr>
        <w:t>)</w:t>
      </w:r>
      <w:r w:rsidRPr="005E585A">
        <w:rPr>
          <w:lang w:val="en-US"/>
        </w:rPr>
        <w:t xml:space="preserve"> make up over 52% of those heard by the Canadian Human Rights Commission,</w:t>
      </w:r>
      <w:r w:rsidR="00E4004B" w:rsidRPr="005E585A">
        <w:rPr>
          <w:vertAlign w:val="superscript"/>
          <w:lang w:val="en-US"/>
        </w:rPr>
        <w:endnoteReference w:id="12"/>
      </w:r>
      <w:r w:rsidRPr="005E585A">
        <w:rPr>
          <w:lang w:val="en-US"/>
        </w:rPr>
        <w:t xml:space="preserve"> which represent only a small fraction of discriminatory experiences. Further, “women, girls and non-binary people with disabilities in Canada experience gender</w:t>
      </w:r>
      <w:r w:rsidR="0C95A06A" w:rsidRPr="005E585A">
        <w:rPr>
          <w:lang w:val="en-US"/>
        </w:rPr>
        <w:t>-</w:t>
      </w:r>
      <w:r w:rsidRPr="005E585A">
        <w:rPr>
          <w:lang w:val="en-US"/>
        </w:rPr>
        <w:t>based violence at 2 to 3 times the rate of their non-disabled counterparts.”</w:t>
      </w:r>
      <w:r w:rsidR="00E4004B" w:rsidRPr="005E585A">
        <w:rPr>
          <w:vertAlign w:val="superscript"/>
          <w:lang w:val="en-US"/>
        </w:rPr>
        <w:endnoteReference w:id="13"/>
      </w:r>
      <w:r w:rsidRPr="005E585A">
        <w:rPr>
          <w:lang w:val="en-US"/>
        </w:rPr>
        <w:t xml:space="preserve"> Canadians with mental-health-related disabilities, specifically, have 3 times greater annual sexual assault rates, and 69% “have been physically or sexually assaulted at least once since the age of 15.”</w:t>
      </w:r>
      <w:r w:rsidR="00E4004B" w:rsidRPr="005E585A">
        <w:rPr>
          <w:vertAlign w:val="superscript"/>
          <w:lang w:val="en-US"/>
        </w:rPr>
        <w:endnoteReference w:id="14"/>
      </w:r>
    </w:p>
    <w:p w14:paraId="5A39BBE3" w14:textId="77777777" w:rsidR="00E4004B" w:rsidRPr="005E585A" w:rsidRDefault="00E4004B">
      <w:pPr>
        <w:ind w:left="720"/>
      </w:pPr>
    </w:p>
    <w:p w14:paraId="703D3BC3" w14:textId="77777777" w:rsidR="00E4004B" w:rsidRPr="005E585A" w:rsidRDefault="00E4004B">
      <w:pPr>
        <w:rPr>
          <w:b/>
        </w:rPr>
      </w:pPr>
      <w:r w:rsidRPr="005E585A">
        <w:t>In short, people with disabilities make up over a quarter of the Canadian population, and they are far more likely to experience discrimination and harm. Thus, is it crucial that this commission specifically considers how these harms translate into the sporting context, and what actions can be taken to keep individuals with disabilities (athletes, parents, officials, spectators, administrators, leaders</w:t>
      </w:r>
      <w:r w:rsidR="00127C81" w:rsidRPr="005E585A">
        <w:t>, volunteers</w:t>
      </w:r>
      <w:r w:rsidRPr="005E585A">
        <w:t>) safe.</w:t>
      </w:r>
    </w:p>
    <w:p w14:paraId="7FFCC7AA" w14:textId="77777777" w:rsidR="00E4004B" w:rsidRPr="005E585A" w:rsidRDefault="00E4004B">
      <w:pPr>
        <w:pStyle w:val="Heading2"/>
        <w:jc w:val="center"/>
        <w:rPr>
          <w:rFonts w:ascii="Times New Roman" w:hAnsi="Times New Roman" w:cs="Times New Roman"/>
        </w:rPr>
      </w:pPr>
      <w:bookmarkStart w:id="4" w:name="_u73glc988l1z" w:colFirst="0" w:colLast="0"/>
      <w:bookmarkEnd w:id="4"/>
      <w:r w:rsidRPr="005E585A">
        <w:rPr>
          <w:rFonts w:ascii="Times New Roman" w:hAnsi="Times New Roman" w:cs="Times New Roman"/>
          <w:b/>
          <w:sz w:val="28"/>
          <w:szCs w:val="28"/>
        </w:rPr>
        <w:t>Disability Participation in Canadian Sport</w:t>
      </w:r>
    </w:p>
    <w:p w14:paraId="7E83CD80" w14:textId="77777777" w:rsidR="00E4004B" w:rsidRPr="005E585A" w:rsidRDefault="74C56229" w:rsidP="67155DE0">
      <w:pPr>
        <w:rPr>
          <w:color w:val="333333"/>
          <w:highlight w:val="white"/>
          <w:lang w:val="en-US"/>
        </w:rPr>
      </w:pPr>
      <w:r w:rsidRPr="005E585A">
        <w:rPr>
          <w:b/>
          <w:bCs/>
          <w:color w:val="333333"/>
          <w:highlight w:val="white"/>
          <w:lang w:val="en-US"/>
        </w:rPr>
        <w:t xml:space="preserve">Discriminatory barriers and widespread harm lead to low levels of sport participation for those with disabilities. </w:t>
      </w:r>
      <w:r w:rsidRPr="005E585A">
        <w:rPr>
          <w:color w:val="333333"/>
          <w:highlight w:val="white"/>
          <w:lang w:val="en-US"/>
        </w:rPr>
        <w:t>Only 15% of people with disabilities participate in sport, exercise or outdoor activities combined (compared to the 21.2% national average).</w:t>
      </w:r>
      <w:r w:rsidR="00E4004B" w:rsidRPr="005E585A">
        <w:rPr>
          <w:color w:val="333333"/>
          <w:highlight w:val="white"/>
          <w:vertAlign w:val="superscript"/>
          <w:lang w:val="en-US"/>
        </w:rPr>
        <w:endnoteReference w:id="15"/>
      </w:r>
      <w:r w:rsidR="0C95A06A" w:rsidRPr="005E585A">
        <w:rPr>
          <w:color w:val="333333"/>
          <w:highlight w:val="white"/>
          <w:lang w:val="en-US"/>
        </w:rPr>
        <w:t xml:space="preserve"> </w:t>
      </w:r>
      <w:r w:rsidR="0C95A06A" w:rsidRPr="005E585A">
        <w:rPr>
          <w:color w:val="333333"/>
          <w:shd w:val="clear" w:color="auto" w:fill="FFFFFF"/>
          <w:lang w:val="en-US"/>
        </w:rPr>
        <w:t>Data describing disability sport participation in Canada are disparate, inconsistent and outdated.</w:t>
      </w:r>
      <w:r w:rsidR="00127C81" w:rsidRPr="005E585A">
        <w:rPr>
          <w:rStyle w:val="EndnoteReference"/>
          <w:color w:val="333333"/>
          <w:shd w:val="clear" w:color="auto" w:fill="FFFFFF"/>
          <w:lang w:val="en-US"/>
        </w:rPr>
        <w:endnoteReference w:id="16"/>
      </w:r>
    </w:p>
    <w:p w14:paraId="41C8F396" w14:textId="77777777" w:rsidR="00E4004B" w:rsidRPr="005E585A" w:rsidRDefault="00E4004B">
      <w:pPr>
        <w:rPr>
          <w:b/>
          <w:color w:val="333333"/>
          <w:highlight w:val="white"/>
        </w:rPr>
      </w:pPr>
    </w:p>
    <w:p w14:paraId="5BB60941" w14:textId="77777777" w:rsidR="00E4004B" w:rsidRPr="005E585A" w:rsidRDefault="74C56229" w:rsidP="67155DE0">
      <w:pPr>
        <w:rPr>
          <w:b/>
          <w:bCs/>
          <w:color w:val="333333"/>
          <w:highlight w:val="white"/>
          <w:lang w:val="en-US"/>
        </w:rPr>
      </w:pPr>
      <w:r w:rsidRPr="005E585A">
        <w:rPr>
          <w:b/>
          <w:bCs/>
          <w:color w:val="333333"/>
          <w:highlight w:val="white"/>
          <w:lang w:val="en-US"/>
        </w:rPr>
        <w:t>The participation of people with disabilities in (both mainstream</w:t>
      </w:r>
      <w:r w:rsidR="00E4004B" w:rsidRPr="005E585A">
        <w:rPr>
          <w:b/>
          <w:bCs/>
          <w:color w:val="333333"/>
          <w:highlight w:val="white"/>
          <w:vertAlign w:val="superscript"/>
          <w:lang w:val="en-US"/>
        </w:rPr>
        <w:endnoteReference w:id="17"/>
      </w:r>
      <w:r w:rsidRPr="005E585A">
        <w:rPr>
          <w:b/>
          <w:bCs/>
          <w:color w:val="333333"/>
          <w:highlight w:val="white"/>
          <w:lang w:val="en-US"/>
        </w:rPr>
        <w:t xml:space="preserve"> and disability-specific</w:t>
      </w:r>
      <w:r w:rsidR="00E4004B" w:rsidRPr="005E585A">
        <w:rPr>
          <w:b/>
          <w:bCs/>
          <w:color w:val="333333"/>
          <w:highlight w:val="white"/>
          <w:vertAlign w:val="superscript"/>
          <w:lang w:val="en-US"/>
        </w:rPr>
        <w:endnoteReference w:id="18"/>
      </w:r>
      <w:r w:rsidRPr="005E585A">
        <w:rPr>
          <w:b/>
          <w:bCs/>
          <w:color w:val="333333"/>
          <w:highlight w:val="white"/>
          <w:lang w:val="en-US"/>
        </w:rPr>
        <w:t xml:space="preserve">) sport is protected under both national and international human rights law. </w:t>
      </w:r>
      <w:r w:rsidRPr="005E585A">
        <w:rPr>
          <w:color w:val="333333"/>
          <w:highlight w:val="white"/>
          <w:lang w:val="en-US"/>
        </w:rPr>
        <w:t>Disability is a protected ground under Section 15 of the Canadian Charter of Rights and Freedoms,</w:t>
      </w:r>
      <w:r w:rsidR="00E4004B" w:rsidRPr="005E585A">
        <w:rPr>
          <w:color w:val="333333"/>
          <w:highlight w:val="white"/>
          <w:vertAlign w:val="superscript"/>
          <w:lang w:val="en-US"/>
        </w:rPr>
        <w:endnoteReference w:id="19"/>
      </w:r>
      <w:r w:rsidRPr="005E585A">
        <w:rPr>
          <w:color w:val="333333"/>
          <w:highlight w:val="white"/>
          <w:lang w:val="en-US"/>
        </w:rPr>
        <w:t xml:space="preserve"> preventing discrimination in all aspects of society, including sport. Further, clause 30 of The United Nations Convention on the Rights of Persons with Disabilities (UNCRPD)-- to which Canada is a signatory– specifically protects </w:t>
      </w:r>
      <w:r w:rsidR="5CDB0D28" w:rsidRPr="005E585A">
        <w:rPr>
          <w:color w:val="333333"/>
          <w:highlight w:val="white"/>
          <w:lang w:val="en-US"/>
        </w:rPr>
        <w:t xml:space="preserve">full and effective </w:t>
      </w:r>
      <w:r w:rsidRPr="005E585A">
        <w:rPr>
          <w:color w:val="333333"/>
          <w:highlight w:val="white"/>
          <w:lang w:val="en-US"/>
        </w:rPr>
        <w:t>“participation in cultural life, recreation, leisure and sport.”</w:t>
      </w:r>
      <w:r w:rsidR="00E4004B" w:rsidRPr="005E585A">
        <w:rPr>
          <w:color w:val="333333"/>
          <w:highlight w:val="white"/>
          <w:vertAlign w:val="superscript"/>
          <w:lang w:val="en-US"/>
        </w:rPr>
        <w:endnoteReference w:id="20"/>
      </w:r>
      <w:r w:rsidRPr="005E585A">
        <w:rPr>
          <w:color w:val="333333"/>
          <w:highlight w:val="white"/>
          <w:lang w:val="en-US"/>
        </w:rPr>
        <w:t xml:space="preserve"> </w:t>
      </w:r>
      <w:r w:rsidR="4439B8F0" w:rsidRPr="005E585A">
        <w:rPr>
          <w:color w:val="333333"/>
          <w:highlight w:val="white"/>
          <w:lang w:val="en-US"/>
        </w:rPr>
        <w:t xml:space="preserve">Full and effective participation is not only the absence of harm but is the </w:t>
      </w:r>
      <w:r w:rsidR="4439B8F0" w:rsidRPr="005E585A">
        <w:rPr>
          <w:color w:val="444746"/>
          <w:lang w:val="en-US"/>
        </w:rPr>
        <w:t xml:space="preserve">result of repeated and continuous quality experiences in sport activities, including training, competitions, </w:t>
      </w:r>
      <w:r w:rsidR="4439B8F0" w:rsidRPr="005E585A">
        <w:rPr>
          <w:color w:val="444746"/>
          <w:lang w:val="en-US"/>
        </w:rPr>
        <w:lastRenderedPageBreak/>
        <w:t>events</w:t>
      </w:r>
      <w:r w:rsidR="00F80CC6" w:rsidRPr="005E585A">
        <w:rPr>
          <w:rStyle w:val="EndnoteReference"/>
          <w:color w:val="444746"/>
          <w:lang w:val="en-US"/>
        </w:rPr>
        <w:endnoteReference w:id="21"/>
      </w:r>
      <w:r w:rsidR="4439B8F0" w:rsidRPr="005E585A">
        <w:rPr>
          <w:color w:val="444746"/>
          <w:lang w:val="en-US"/>
        </w:rPr>
        <w:t xml:space="preserve">, and sport-related social activities. Athletes who have quality experiences in sport report greater social and psychological well-being than athletes who do not have quality experiences. </w:t>
      </w:r>
      <w:r w:rsidRPr="005E585A">
        <w:rPr>
          <w:color w:val="333333"/>
          <w:highlight w:val="white"/>
          <w:lang w:val="en-US"/>
        </w:rPr>
        <w:t>Of note, subclause 5 of this convention protects both the right to lead and participate in disability-specific sport, as well as -”to the fullest extent possible…in mainstream sporting activities.”</w:t>
      </w:r>
      <w:r w:rsidR="00E4004B" w:rsidRPr="005E585A">
        <w:rPr>
          <w:color w:val="333333"/>
          <w:highlight w:val="white"/>
          <w:vertAlign w:val="superscript"/>
          <w:lang w:val="en-US"/>
        </w:rPr>
        <w:endnoteReference w:id="22"/>
      </w:r>
    </w:p>
    <w:p w14:paraId="72A3D3EC" w14:textId="77777777" w:rsidR="00E4004B" w:rsidRPr="005E585A" w:rsidRDefault="00E4004B">
      <w:pPr>
        <w:rPr>
          <w:b/>
          <w:color w:val="333333"/>
          <w:highlight w:val="white"/>
        </w:rPr>
      </w:pPr>
    </w:p>
    <w:p w14:paraId="4D6FA17A" w14:textId="74DD06C2" w:rsidR="00E4004B" w:rsidRPr="005E585A" w:rsidRDefault="74C56229" w:rsidP="67155DE0">
      <w:pPr>
        <w:rPr>
          <w:sz w:val="20"/>
          <w:szCs w:val="20"/>
          <w:lang w:val="en-US"/>
        </w:rPr>
      </w:pPr>
      <w:r w:rsidRPr="005E585A">
        <w:rPr>
          <w:b/>
          <w:bCs/>
          <w:color w:val="333333"/>
          <w:highlight w:val="white"/>
          <w:lang w:val="en-US"/>
        </w:rPr>
        <w:t>The small amount of research and interventions around safe sport for those with disabilities tends to focus on national-level Disability-Specific Sport</w:t>
      </w:r>
      <w:r w:rsidR="00724062">
        <w:rPr>
          <w:b/>
          <w:bCs/>
          <w:color w:val="333333"/>
          <w:highlight w:val="white"/>
          <w:lang w:val="en-US"/>
        </w:rPr>
        <w:t>.</w:t>
      </w:r>
      <w:r w:rsidR="00161AF5" w:rsidRPr="005E585A">
        <w:rPr>
          <w:rStyle w:val="EndnoteReference"/>
          <w:b/>
          <w:bCs/>
          <w:color w:val="333333"/>
          <w:highlight w:val="white"/>
          <w:lang w:val="en-US"/>
        </w:rPr>
        <w:endnoteReference w:id="23"/>
      </w:r>
      <w:r w:rsidRPr="005E585A">
        <w:rPr>
          <w:b/>
          <w:bCs/>
          <w:color w:val="333333"/>
          <w:highlight w:val="white"/>
          <w:lang w:val="en-US"/>
        </w:rPr>
        <w:t xml:space="preserve"> </w:t>
      </w:r>
      <w:r w:rsidRPr="005E585A">
        <w:rPr>
          <w:color w:val="333333"/>
          <w:highlight w:val="white"/>
          <w:lang w:val="en-US"/>
        </w:rPr>
        <w:t>Disability-specific</w:t>
      </w:r>
      <w:r w:rsidRPr="005E585A">
        <w:rPr>
          <w:b/>
          <w:bCs/>
          <w:color w:val="333333"/>
          <w:highlight w:val="white"/>
          <w:lang w:val="en-US"/>
        </w:rPr>
        <w:t xml:space="preserve"> </w:t>
      </w:r>
      <w:r w:rsidRPr="005E585A">
        <w:rPr>
          <w:color w:val="333333"/>
          <w:highlight w:val="white"/>
          <w:lang w:val="en-US"/>
        </w:rPr>
        <w:t>sport refers to programs designed or adapted for those experiencing specific kinds of disability. These programs are often organized and internally segregated based on type of disability (e.g., sight vs physical, or sometimes diagnosis-specific) and level of functional impacts (e.g</w:t>
      </w:r>
      <w:r w:rsidR="00724062">
        <w:rPr>
          <w:color w:val="333333"/>
          <w:highlight w:val="white"/>
          <w:lang w:val="en-US"/>
        </w:rPr>
        <w:t>.</w:t>
      </w:r>
      <w:r w:rsidRPr="005E585A">
        <w:rPr>
          <w:color w:val="333333"/>
          <w:highlight w:val="white"/>
          <w:lang w:val="en-US"/>
        </w:rPr>
        <w:t xml:space="preserve">, level of paralysis). Some disability-specific sport programs are partially </w:t>
      </w:r>
      <w:r w:rsidRPr="00724062">
        <w:rPr>
          <w:color w:val="333333"/>
          <w:highlight w:val="white"/>
          <w:lang w:val="en-US"/>
        </w:rPr>
        <w:t>integrated</w:t>
      </w:r>
      <w:r w:rsidRPr="005E585A">
        <w:rPr>
          <w:color w:val="333333"/>
          <w:highlight w:val="white"/>
          <w:lang w:val="en-US"/>
        </w:rPr>
        <w:t xml:space="preserve">, meaning that athletes with and without disabilities may sometimes train and even compete alongside each other, within a framework that ensures disability-specific adaptations and opportunities (e.g., skiing, wheelchair basketball). Disability-specific sport programs range from unaffiliated, local programs to highly structured national sport systems. </w:t>
      </w:r>
    </w:p>
    <w:p w14:paraId="0D0B940D" w14:textId="77777777" w:rsidR="00E4004B" w:rsidRPr="005E585A" w:rsidRDefault="00E4004B">
      <w:pPr>
        <w:rPr>
          <w:color w:val="333333"/>
          <w:highlight w:val="white"/>
        </w:rPr>
      </w:pPr>
    </w:p>
    <w:p w14:paraId="74472264" w14:textId="77777777" w:rsidR="00E4004B" w:rsidRPr="005E585A" w:rsidRDefault="74C56229" w:rsidP="67155DE0">
      <w:pPr>
        <w:rPr>
          <w:color w:val="333333"/>
          <w:highlight w:val="white"/>
          <w:lang w:val="en-US"/>
        </w:rPr>
      </w:pPr>
      <w:r w:rsidRPr="005E585A">
        <w:rPr>
          <w:b/>
          <w:bCs/>
          <w:color w:val="333333"/>
          <w:highlight w:val="white"/>
          <w:lang w:val="en-US"/>
        </w:rPr>
        <w:t>Canada has three formally-recognized disability-specific national sport streams</w:t>
      </w:r>
      <w:r w:rsidRPr="005E585A">
        <w:rPr>
          <w:color w:val="333333"/>
          <w:highlight w:val="white"/>
          <w:lang w:val="en-US"/>
        </w:rPr>
        <w:t>:</w:t>
      </w:r>
    </w:p>
    <w:p w14:paraId="6C45962B" w14:textId="77777777" w:rsidR="00E4004B" w:rsidRPr="005E585A" w:rsidRDefault="00E4004B">
      <w:pPr>
        <w:numPr>
          <w:ilvl w:val="0"/>
          <w:numId w:val="3"/>
        </w:numPr>
        <w:rPr>
          <w:color w:val="333333"/>
          <w:highlight w:val="white"/>
        </w:rPr>
      </w:pPr>
      <w:r w:rsidRPr="005E585A">
        <w:rPr>
          <w:b/>
          <w:color w:val="333333"/>
          <w:highlight w:val="white"/>
        </w:rPr>
        <w:t>Parasport</w:t>
      </w:r>
      <w:r w:rsidRPr="005E585A">
        <w:rPr>
          <w:b/>
          <w:color w:val="333333"/>
          <w:highlight w:val="white"/>
          <w:vertAlign w:val="superscript"/>
        </w:rPr>
        <w:endnoteReference w:id="24"/>
      </w:r>
      <w:r w:rsidRPr="005E585A">
        <w:rPr>
          <w:color w:val="333333"/>
          <w:highlight w:val="white"/>
        </w:rPr>
        <w:t xml:space="preserve"> caters primarily to those with physical and sight-related disabilities. Grassroots programs are most often offered by independent sport clubs or Provincial Sport Organizations (PSOs). Each parasport is nationally represented either by a mainstream National Sport Organizations (NSOs) (e.g., Swimming/Natation Canada), or disability-specific NSO (e.g., Canadian Blind Sports). The Canadian Paralympic Committee focuses on elite sport, working with NSOs to prepare teams for international, multisport competitions. </w:t>
      </w:r>
    </w:p>
    <w:p w14:paraId="3BF94EF3" w14:textId="77777777" w:rsidR="00E4004B" w:rsidRPr="005E585A" w:rsidRDefault="74C56229" w:rsidP="67155DE0">
      <w:pPr>
        <w:numPr>
          <w:ilvl w:val="0"/>
          <w:numId w:val="3"/>
        </w:numPr>
        <w:rPr>
          <w:color w:val="333333"/>
          <w:highlight w:val="white"/>
          <w:lang w:val="en-US"/>
        </w:rPr>
      </w:pPr>
      <w:r w:rsidRPr="005E585A">
        <w:rPr>
          <w:b/>
          <w:bCs/>
          <w:color w:val="333333"/>
          <w:highlight w:val="white"/>
          <w:lang w:val="en-US"/>
        </w:rPr>
        <w:t xml:space="preserve">Special Olympics Canada </w:t>
      </w:r>
      <w:r w:rsidRPr="005E585A">
        <w:rPr>
          <w:color w:val="333333"/>
          <w:highlight w:val="white"/>
          <w:lang w:val="en-US"/>
        </w:rPr>
        <w:t>works with provincial chapters of their organization to provide sporting programs for athletes with cognitive disabilities. Their mandate ranges from local recreational programs to elite national and international competitions. Their programs include a focus on quality sport experiences, supporting high performance training, and also supporting athlete wellbeing.</w:t>
      </w:r>
    </w:p>
    <w:p w14:paraId="63B8D5F1" w14:textId="77777777" w:rsidR="00E4004B" w:rsidRPr="005E585A" w:rsidRDefault="74C56229" w:rsidP="67155DE0">
      <w:pPr>
        <w:numPr>
          <w:ilvl w:val="0"/>
          <w:numId w:val="3"/>
        </w:numPr>
        <w:rPr>
          <w:b/>
          <w:bCs/>
          <w:color w:val="333333"/>
          <w:highlight w:val="white"/>
          <w:lang w:val="en-US"/>
        </w:rPr>
      </w:pPr>
      <w:r w:rsidRPr="005E585A">
        <w:rPr>
          <w:b/>
          <w:bCs/>
          <w:color w:val="333333"/>
          <w:highlight w:val="white"/>
          <w:lang w:val="en-US"/>
        </w:rPr>
        <w:t>Deaf Sport</w:t>
      </w:r>
      <w:r w:rsidRPr="005E585A">
        <w:rPr>
          <w:color w:val="333333"/>
          <w:highlight w:val="white"/>
          <w:lang w:val="en-US"/>
        </w:rPr>
        <w:t xml:space="preserve"> caters to </w:t>
      </w:r>
      <w:r w:rsidRPr="00724062">
        <w:rPr>
          <w:color w:val="333333"/>
          <w:highlight w:val="white"/>
          <w:lang w:val="en-US"/>
        </w:rPr>
        <w:t>D/deaf</w:t>
      </w:r>
      <w:r w:rsidR="00E4004B" w:rsidRPr="00724062">
        <w:rPr>
          <w:color w:val="333333"/>
          <w:highlight w:val="white"/>
          <w:vertAlign w:val="superscript"/>
          <w:lang w:val="en-US"/>
        </w:rPr>
        <w:endnoteReference w:id="25"/>
      </w:r>
      <w:r w:rsidRPr="00724062">
        <w:rPr>
          <w:color w:val="333333"/>
          <w:highlight w:val="white"/>
          <w:lang w:val="en-US"/>
        </w:rPr>
        <w:t xml:space="preserve"> and hard of hearing</w:t>
      </w:r>
      <w:r w:rsidRPr="005E585A">
        <w:rPr>
          <w:color w:val="333333"/>
          <w:highlight w:val="white"/>
          <w:lang w:val="en-US"/>
        </w:rPr>
        <w:t xml:space="preserve"> athletes. The Canadian Deaf Sports Association collaborates with a range of local and provincial Deaf Sport Organizations as well as mainstream NSOs that have D/deaf and hard of hearing competitors, in order to support national and international Deaflympic competitions. Deaf sport is oriented not only around adapted sport experiences, but also the promotion of Deaf cultural, linguistic and social ties.</w:t>
      </w:r>
      <w:r w:rsidR="00E4004B" w:rsidRPr="005E585A">
        <w:rPr>
          <w:color w:val="333333"/>
          <w:highlight w:val="white"/>
          <w:vertAlign w:val="superscript"/>
          <w:lang w:val="en-US"/>
        </w:rPr>
        <w:endnoteReference w:id="26"/>
      </w:r>
    </w:p>
    <w:p w14:paraId="0E27B00A" w14:textId="77777777" w:rsidR="00E4004B" w:rsidRPr="005E585A" w:rsidRDefault="00E4004B"/>
    <w:p w14:paraId="0A5928DA" w14:textId="78D5F89D" w:rsidR="00E4004B" w:rsidRPr="005E585A" w:rsidRDefault="74C56229" w:rsidP="67155DE0">
      <w:pPr>
        <w:rPr>
          <w:color w:val="333333"/>
          <w:highlight w:val="white"/>
          <w:lang w:val="en-US"/>
        </w:rPr>
      </w:pPr>
      <w:r w:rsidRPr="005E585A">
        <w:rPr>
          <w:b/>
          <w:bCs/>
          <w:color w:val="333333"/>
          <w:highlight w:val="white"/>
          <w:lang w:val="en-US"/>
        </w:rPr>
        <w:t xml:space="preserve">Persons with disabilities </w:t>
      </w:r>
      <w:r w:rsidRPr="005E585A">
        <w:rPr>
          <w:b/>
          <w:bCs/>
          <w:color w:val="333333"/>
          <w:highlight w:val="white"/>
          <w:u w:val="single"/>
          <w:lang w:val="en-US"/>
        </w:rPr>
        <w:t>also</w:t>
      </w:r>
      <w:r w:rsidRPr="005E585A">
        <w:rPr>
          <w:b/>
          <w:bCs/>
          <w:color w:val="333333"/>
          <w:highlight w:val="white"/>
          <w:lang w:val="en-US"/>
        </w:rPr>
        <w:t xml:space="preserve"> have a right to safe, meaningful access to mainstream and integrated sport programs.</w:t>
      </w:r>
      <w:r w:rsidR="00E4004B" w:rsidRPr="005E585A">
        <w:rPr>
          <w:color w:val="333333"/>
          <w:highlight w:val="white"/>
          <w:vertAlign w:val="superscript"/>
          <w:lang w:val="en-US"/>
        </w:rPr>
        <w:endnoteReference w:id="27"/>
      </w:r>
      <w:r w:rsidRPr="005E585A">
        <w:rPr>
          <w:color w:val="333333"/>
          <w:highlight w:val="white"/>
          <w:lang w:val="en-US"/>
        </w:rPr>
        <w:t xml:space="preserve"> Athletes with pain-related or mental health-related disabilities (27%), learning disabilities, or more than one disability type (71%) are rarely catered to in disability-specific sport systems.</w:t>
      </w:r>
      <w:r w:rsidR="00E4004B" w:rsidRPr="005E585A">
        <w:rPr>
          <w:b/>
          <w:bCs/>
          <w:color w:val="333333"/>
          <w:highlight w:val="white"/>
          <w:vertAlign w:val="superscript"/>
          <w:lang w:val="en-US"/>
        </w:rPr>
        <w:endnoteReference w:id="28"/>
      </w:r>
      <w:r w:rsidRPr="005E585A">
        <w:rPr>
          <w:color w:val="333333"/>
          <w:highlight w:val="white"/>
          <w:lang w:val="en-US"/>
        </w:rPr>
        <w:t xml:space="preserve"> Athletes may also be excluded from disability-specific sport systems because they are deemed ‘too disabled’ or ‘not disabled enough’ to fit into the existing categories</w:t>
      </w:r>
      <w:r w:rsidR="00411926">
        <w:rPr>
          <w:color w:val="333333"/>
          <w:highlight w:val="white"/>
          <w:lang w:val="en-US"/>
        </w:rPr>
        <w:t>.</w:t>
      </w:r>
      <w:r w:rsidR="00411926">
        <w:rPr>
          <w:rStyle w:val="EndnoteReference"/>
          <w:color w:val="333333"/>
          <w:highlight w:val="white"/>
          <w:lang w:val="en-US"/>
        </w:rPr>
        <w:endnoteReference w:id="29"/>
      </w:r>
      <w:r w:rsidRPr="005E585A">
        <w:rPr>
          <w:color w:val="333333"/>
          <w:highlight w:val="white"/>
          <w:lang w:val="en-US"/>
        </w:rPr>
        <w:t xml:space="preserve"> Rural athletes rarely have appropriate local disability programs. Social inclusion is often more experienced when playing sports alongside family, friends, schoolmates, or cultural communities (e.g., Indigenous or queer sport programs).</w:t>
      </w:r>
      <w:r w:rsidR="00E4004B" w:rsidRPr="005E585A">
        <w:rPr>
          <w:b/>
          <w:bCs/>
          <w:color w:val="333333"/>
          <w:highlight w:val="white"/>
          <w:vertAlign w:val="superscript"/>
          <w:lang w:val="en-US"/>
        </w:rPr>
        <w:endnoteReference w:id="30"/>
      </w:r>
      <w:r w:rsidRPr="005E585A">
        <w:rPr>
          <w:color w:val="333333"/>
          <w:highlight w:val="white"/>
          <w:lang w:val="en-US"/>
        </w:rPr>
        <w:t xml:space="preserve"> Mainstream programs may offer greater choice over type of sport and recreational/competitive/age levels. Mainstream sport </w:t>
      </w:r>
      <w:r w:rsidRPr="005E585A">
        <w:rPr>
          <w:color w:val="333333"/>
          <w:highlight w:val="white"/>
          <w:lang w:val="en-US"/>
        </w:rPr>
        <w:lastRenderedPageBreak/>
        <w:t>participation may help reduce or increase a felt sense of disability stigma, depending on skill of adaptations, cultures of exclusion/inclusion, bullying around difference, and athlete success. However, because little consideration or attention is given to safe participation of people with disabilities in mainstream sport, there are often fewer well-supported mainstream and integrated opportunities, and thus many people with disabilities experience harm in and through sport contexts, reducing their engagement with sport altogether.</w:t>
      </w:r>
      <w:r w:rsidR="00E4004B" w:rsidRPr="005E585A">
        <w:rPr>
          <w:color w:val="333333"/>
          <w:highlight w:val="white"/>
          <w:vertAlign w:val="superscript"/>
          <w:lang w:val="en-US"/>
        </w:rPr>
        <w:endnoteReference w:id="31"/>
      </w:r>
    </w:p>
    <w:p w14:paraId="6A001621" w14:textId="77777777" w:rsidR="00E4004B" w:rsidRPr="005E585A" w:rsidRDefault="00E4004B">
      <w:pPr>
        <w:pStyle w:val="Heading2"/>
        <w:jc w:val="center"/>
        <w:rPr>
          <w:rFonts w:ascii="Times New Roman" w:hAnsi="Times New Roman" w:cs="Times New Roman"/>
          <w:b/>
          <w:sz w:val="28"/>
          <w:szCs w:val="28"/>
        </w:rPr>
      </w:pPr>
      <w:bookmarkStart w:id="5" w:name="_7mj0caqaher3" w:colFirst="0" w:colLast="0"/>
      <w:bookmarkEnd w:id="5"/>
      <w:r w:rsidRPr="005E585A">
        <w:rPr>
          <w:rFonts w:ascii="Times New Roman" w:hAnsi="Times New Roman" w:cs="Times New Roman"/>
          <w:b/>
          <w:sz w:val="28"/>
          <w:szCs w:val="28"/>
        </w:rPr>
        <w:t>Disability and Safety in Sport: General Considerations</w:t>
      </w:r>
    </w:p>
    <w:p w14:paraId="05E73136" w14:textId="77777777" w:rsidR="00E4004B" w:rsidRPr="005E585A" w:rsidRDefault="00E4004B">
      <w:pPr>
        <w:rPr>
          <w:color w:val="333333"/>
          <w:highlight w:val="white"/>
        </w:rPr>
      </w:pPr>
      <w:bookmarkStart w:id="6" w:name="_rjv8ypyhl0mi" w:colFirst="0" w:colLast="0"/>
      <w:bookmarkEnd w:id="6"/>
      <w:r w:rsidRPr="005E585A">
        <w:rPr>
          <w:b/>
          <w:color w:val="333333"/>
          <w:highlight w:val="white"/>
        </w:rPr>
        <w:t>Sport can reduce, cause, and increase disability</w:t>
      </w:r>
      <w:r w:rsidRPr="005E585A">
        <w:rPr>
          <w:color w:val="333333"/>
          <w:highlight w:val="white"/>
        </w:rPr>
        <w:t>. Safe and meaningful sport can help reduce impacts of disabilities, for example by improving mental health,</w:t>
      </w:r>
      <w:r w:rsidRPr="005E585A">
        <w:rPr>
          <w:color w:val="333333"/>
          <w:highlight w:val="white"/>
          <w:vertAlign w:val="superscript"/>
        </w:rPr>
        <w:endnoteReference w:id="32"/>
      </w:r>
      <w:r w:rsidRPr="005E585A">
        <w:rPr>
          <w:color w:val="333333"/>
          <w:highlight w:val="white"/>
        </w:rPr>
        <w:t xml:space="preserve"> alleviating some health conditions or helping to rehabilitate a physical injury.</w:t>
      </w:r>
      <w:r w:rsidRPr="005E585A">
        <w:rPr>
          <w:color w:val="333333"/>
          <w:highlight w:val="white"/>
          <w:vertAlign w:val="superscript"/>
        </w:rPr>
        <w:endnoteReference w:id="33"/>
      </w:r>
      <w:r w:rsidRPr="005E585A">
        <w:rPr>
          <w:color w:val="333333"/>
          <w:highlight w:val="white"/>
        </w:rPr>
        <w:t xml:space="preserve"> On the other hand, unsafe sport experiences can significantly increase rates and intensities of disability, including physical disabilities (through overuse, contortion, injury, or physical abuse),</w:t>
      </w:r>
      <w:r w:rsidRPr="005E585A">
        <w:rPr>
          <w:color w:val="333333"/>
          <w:highlight w:val="white"/>
          <w:vertAlign w:val="superscript"/>
        </w:rPr>
        <w:endnoteReference w:id="34"/>
      </w:r>
      <w:r w:rsidRPr="005E585A">
        <w:rPr>
          <w:color w:val="333333"/>
          <w:highlight w:val="white"/>
        </w:rPr>
        <w:t xml:space="preserve"> cognitive disabilities (through concussion),</w:t>
      </w:r>
      <w:r w:rsidRPr="005E585A">
        <w:rPr>
          <w:color w:val="333333"/>
          <w:highlight w:val="white"/>
          <w:vertAlign w:val="superscript"/>
        </w:rPr>
        <w:endnoteReference w:id="35"/>
      </w:r>
      <w:r w:rsidRPr="005E585A">
        <w:rPr>
          <w:color w:val="333333"/>
          <w:highlight w:val="white"/>
        </w:rPr>
        <w:t xml:space="preserve"> and mental illness (through, for example, extended periods of high pressure and stress without adequate support, bullying, psychological or sexual abuse, discrimination, and body/weight surveillance).</w:t>
      </w:r>
      <w:r w:rsidRPr="005E585A">
        <w:rPr>
          <w:color w:val="333333"/>
          <w:highlight w:val="white"/>
          <w:vertAlign w:val="superscript"/>
        </w:rPr>
        <w:endnoteReference w:id="36"/>
      </w:r>
    </w:p>
    <w:p w14:paraId="60061E4C" w14:textId="77777777" w:rsidR="00E4004B" w:rsidRPr="005E585A" w:rsidRDefault="00E4004B">
      <w:pPr>
        <w:ind w:left="720"/>
        <w:rPr>
          <w:color w:val="333333"/>
          <w:highlight w:val="white"/>
        </w:rPr>
      </w:pPr>
    </w:p>
    <w:p w14:paraId="7676780A" w14:textId="5CA9BC5C" w:rsidR="00E4004B" w:rsidRPr="005E585A" w:rsidRDefault="74C56229" w:rsidP="67155DE0">
      <w:pPr>
        <w:rPr>
          <w:lang w:val="en-US"/>
        </w:rPr>
      </w:pPr>
      <w:r w:rsidRPr="005E585A">
        <w:rPr>
          <w:b/>
          <w:bCs/>
          <w:lang w:val="en-US"/>
        </w:rPr>
        <w:t>Safety and discrimination issues for people with disabilities in sport are understudied</w:t>
      </w:r>
      <w:r w:rsidRPr="005E585A">
        <w:rPr>
          <w:lang w:val="en-US"/>
        </w:rPr>
        <w:t xml:space="preserve">, </w:t>
      </w:r>
      <w:r w:rsidRPr="005E585A">
        <w:rPr>
          <w:b/>
          <w:bCs/>
          <w:lang w:val="en-US"/>
        </w:rPr>
        <w:t>under-considered, and under</w:t>
      </w:r>
      <w:r w:rsidR="00042306">
        <w:rPr>
          <w:b/>
          <w:bCs/>
          <w:lang w:val="en-US"/>
        </w:rPr>
        <w:t>-</w:t>
      </w:r>
      <w:r w:rsidRPr="005E585A">
        <w:rPr>
          <w:b/>
          <w:bCs/>
          <w:lang w:val="en-US"/>
        </w:rPr>
        <w:t>actioned</w:t>
      </w:r>
      <w:r w:rsidRPr="005E585A">
        <w:rPr>
          <w:lang w:val="en-US"/>
        </w:rPr>
        <w:t xml:space="preserve">. Studies and policies that do exist often focus on disability-specific sport, especially elite parasport. We have rarely addressed (un)safe sport experiences for people with disabilities, especially in mainstream, integrated, and recreational sport contexts. Further there is almost no attention given to the safety of people with disabilities in non-athlete roles, including coaches, parents, administrators, officials, and spectators. This is crucial, given that the </w:t>
      </w:r>
      <w:r w:rsidRPr="005E585A">
        <w:rPr>
          <w:color w:val="333333"/>
          <w:highlight w:val="white"/>
          <w:lang w:val="en-US"/>
        </w:rPr>
        <w:t>UNCRPD protects not only athletes but spectatorship and leadership of people with disabilities in recreational, sporting, and cultural contexts.</w:t>
      </w:r>
    </w:p>
    <w:p w14:paraId="44EAFD9C" w14:textId="77777777" w:rsidR="00E4004B" w:rsidRPr="005E585A" w:rsidRDefault="00E4004B">
      <w:pPr>
        <w:ind w:left="720"/>
      </w:pPr>
    </w:p>
    <w:p w14:paraId="42C0C1FA" w14:textId="77777777" w:rsidR="00E4004B" w:rsidRPr="005E585A" w:rsidRDefault="00E4004B">
      <w:r w:rsidRPr="005E585A">
        <w:rPr>
          <w:b/>
        </w:rPr>
        <w:t>Athletes with disabilities experience higher levels of harm</w:t>
      </w:r>
      <w:r w:rsidRPr="005E585A">
        <w:t>. International studies show significantly higher rates of both psychological and sexual harm for athletes with disabilities.</w:t>
      </w:r>
      <w:r w:rsidRPr="005E585A">
        <w:rPr>
          <w:vertAlign w:val="superscript"/>
        </w:rPr>
        <w:endnoteReference w:id="37"/>
      </w:r>
      <w:r w:rsidRPr="005E585A">
        <w:t xml:space="preserve"> Out of 110 Canadian elite parasport athletes in 2020, 20% experienced repeated psychological harm, 26% reported harms related to discrimination, and they also reported “higher rates of self-harm …and lower rates of well-being compared to their able-bodied counterparts.”</w:t>
      </w:r>
      <w:r w:rsidRPr="005E585A">
        <w:rPr>
          <w:vertAlign w:val="superscript"/>
        </w:rPr>
        <w:endnoteReference w:id="38"/>
      </w:r>
      <w:r w:rsidRPr="005E585A">
        <w:t xml:space="preserve"> This Canadian study, however, concludes that these numbers are likely low, given that the questionnaires used are those designed for non-disabled participants, and thus do not engage adequately with disability-specific forms of harm, such as those outlined below. Numbers are also likely low given the incredibly low standards and expectations of "safety" disabled individuals experience daily. </w:t>
      </w:r>
    </w:p>
    <w:p w14:paraId="4B94D5A5" w14:textId="77777777" w:rsidR="00E4004B" w:rsidRPr="005E585A" w:rsidRDefault="00E4004B"/>
    <w:p w14:paraId="62AB0BDC" w14:textId="77777777" w:rsidR="00E4004B" w:rsidRPr="005E585A" w:rsidRDefault="74C56229" w:rsidP="67155DE0">
      <w:pPr>
        <w:rPr>
          <w:rFonts w:eastAsia="Roboto"/>
          <w:lang w:val="en-US"/>
        </w:rPr>
      </w:pPr>
      <w:r w:rsidRPr="005E585A">
        <w:rPr>
          <w:b/>
          <w:bCs/>
          <w:lang w:val="en-US"/>
        </w:rPr>
        <w:t>Those with disabilities in sport experience additional harms related to ableism</w:t>
      </w:r>
      <w:r w:rsidRPr="005E585A">
        <w:rPr>
          <w:lang w:val="en-US"/>
        </w:rPr>
        <w:t xml:space="preserve">. Ableism refers to forms of individual or systemic discrimination, social prejudice, or devaluation of people based on real or perceived deviations from normative bodies, minds, or capacities. Ableism is often used as an umbrella term for more specific forms of discrimination and devaluation, including audism (related to privileging hearing/speaking), </w:t>
      </w:r>
      <w:proofErr w:type="spellStart"/>
      <w:r w:rsidRPr="005E585A">
        <w:rPr>
          <w:lang w:val="en-US"/>
        </w:rPr>
        <w:t>ocularcentrism</w:t>
      </w:r>
      <w:proofErr w:type="spellEnd"/>
      <w:r w:rsidRPr="005E585A">
        <w:rPr>
          <w:lang w:val="en-US"/>
        </w:rPr>
        <w:t xml:space="preserve"> (discrimination related to privileging vision/visual engagement), sanism (discrimination against those who are neurodivergent or have mental health disabilities), </w:t>
      </w:r>
      <w:proofErr w:type="spellStart"/>
      <w:r w:rsidRPr="005E585A">
        <w:rPr>
          <w:lang w:val="en-US"/>
        </w:rPr>
        <w:t>fatmisia</w:t>
      </w:r>
      <w:proofErr w:type="spellEnd"/>
      <w:r w:rsidRPr="005E585A">
        <w:rPr>
          <w:lang w:val="en-US"/>
        </w:rPr>
        <w:t xml:space="preserve"> (discrimination based on body size and composition)</w:t>
      </w:r>
      <w:r w:rsidRPr="005E585A">
        <w:rPr>
          <w:rFonts w:eastAsia="Roboto"/>
          <w:lang w:val="en-US"/>
        </w:rPr>
        <w:t xml:space="preserve">. </w:t>
      </w:r>
    </w:p>
    <w:p w14:paraId="3FE35BB6" w14:textId="77777777" w:rsidR="00E4004B" w:rsidRPr="005E585A" w:rsidRDefault="74C56229" w:rsidP="67155DE0">
      <w:pPr>
        <w:ind w:firstLine="720"/>
        <w:rPr>
          <w:lang w:val="en-US"/>
        </w:rPr>
      </w:pPr>
      <w:r w:rsidRPr="005E585A">
        <w:rPr>
          <w:lang w:val="en-US"/>
        </w:rPr>
        <w:lastRenderedPageBreak/>
        <w:t xml:space="preserve">Ableism is the root cause of many harms discussed in this document, because widespread ableism makes people more likely to: disbelieve our experiences (especially of sexual harm); devalue our knowledges, abilities, and sports; make decisions about us without our input or consent; segregate our communities and opportunities; not consider us when making widespread sport decisions; and not account for our needs when designing sports facilities, programs, policies, and practices. Ableism also shows up in widespread representations of disability sport and its athletes: harmful stereotypes of pity, inspirationally overcoming-our-disabilities, and sport as charity or </w:t>
      </w:r>
      <w:proofErr w:type="spellStart"/>
      <w:r w:rsidRPr="005E585A">
        <w:rPr>
          <w:lang w:val="en-US"/>
        </w:rPr>
        <w:t>saviour</w:t>
      </w:r>
      <w:proofErr w:type="spellEnd"/>
      <w:r w:rsidRPr="005E585A">
        <w:rPr>
          <w:lang w:val="en-US"/>
        </w:rPr>
        <w:t>, rather than sport as a right, as well as a potential site of athletic success, affirmation, AND harm (like for any other athlete</w:t>
      </w:r>
      <w:r w:rsidR="00E4004B" w:rsidRPr="005E585A">
        <w:rPr>
          <w:vertAlign w:val="superscript"/>
          <w:lang w:val="en-US"/>
        </w:rPr>
        <w:endnoteReference w:id="39"/>
      </w:r>
      <w:r w:rsidRPr="005E585A">
        <w:rPr>
          <w:lang w:val="en-US"/>
        </w:rPr>
        <w:t xml:space="preserve">).  </w:t>
      </w:r>
    </w:p>
    <w:p w14:paraId="5E4C29DB" w14:textId="77777777" w:rsidR="00E4004B" w:rsidRPr="005E585A" w:rsidRDefault="74C56229" w:rsidP="67155DE0">
      <w:pPr>
        <w:ind w:firstLine="720"/>
        <w:rPr>
          <w:lang w:val="en-US"/>
        </w:rPr>
      </w:pPr>
      <w:r w:rsidRPr="005E585A">
        <w:rPr>
          <w:lang w:val="en-US"/>
        </w:rPr>
        <w:t>Ableism is internalized by many disabled people in ways that lead to us harming each other and ourselves. Those in disability sport often perpetuates hierarchies of disability that privilege athletes with less significant disabilities, while devaluing, mocking, bullying, or excluding athletes with more significant functional impacts,</w:t>
      </w:r>
      <w:r w:rsidR="00E4004B" w:rsidRPr="005E585A">
        <w:rPr>
          <w:vertAlign w:val="superscript"/>
          <w:lang w:val="en-US"/>
        </w:rPr>
        <w:endnoteReference w:id="40"/>
      </w:r>
      <w:r w:rsidRPr="005E585A">
        <w:rPr>
          <w:lang w:val="en-US"/>
        </w:rPr>
        <w:t xml:space="preserve"> as well as cognitive and mental health disabilities. Overcoming narratives, disability hierarchies, and significant threats of harm and maltreatment lead many athletes, coaches, and others in both disability-specific and mainstream sport to hide, mask</w:t>
      </w:r>
      <w:r w:rsidR="00E4004B" w:rsidRPr="005E585A">
        <w:rPr>
          <w:vertAlign w:val="superscript"/>
          <w:lang w:val="en-US"/>
        </w:rPr>
        <w:endnoteReference w:id="41"/>
      </w:r>
      <w:r w:rsidRPr="005E585A">
        <w:rPr>
          <w:lang w:val="en-US"/>
        </w:rPr>
        <w:t xml:space="preserve"> or minimize their disabilities or health conditions. Secrets and isolation increase harm. Masking does not mean one is psychologically unaffected by bullying and mocking of those with similar conditions. It also makes it much harder to access needed help or support around mental and physical health emergencies, and for ableist maltreatment and abuse by those who do know or suspect. Further, masking often leads to physical harm such as overtraining, skipping disability-specific safety precautions and therapies, and guessing at important instructions when one does not hear, understand, or remember them. Many of these harms come from trying to individually overcome environments or activities that are fundamentally inaccessible or ableist, issues that impact many disabled people in sport.</w:t>
      </w:r>
    </w:p>
    <w:p w14:paraId="7D788F13" w14:textId="77777777" w:rsidR="00E4004B" w:rsidRPr="005E585A" w:rsidRDefault="00E4004B" w:rsidP="00E4004B">
      <w:pPr>
        <w:pStyle w:val="Heading3"/>
        <w:jc w:val="center"/>
        <w:rPr>
          <w:rFonts w:ascii="Times New Roman" w:hAnsi="Times New Roman" w:cs="Times New Roman"/>
          <w:b/>
          <w:bCs/>
          <w:sz w:val="24"/>
          <w:szCs w:val="24"/>
        </w:rPr>
      </w:pPr>
      <w:bookmarkStart w:id="7" w:name="_m7apmh471js" w:colFirst="0" w:colLast="0"/>
      <w:bookmarkEnd w:id="7"/>
      <w:r w:rsidRPr="005E585A">
        <w:rPr>
          <w:rFonts w:ascii="Times New Roman" w:hAnsi="Times New Roman" w:cs="Times New Roman"/>
          <w:b/>
          <w:bCs/>
        </w:rPr>
        <w:t>Harms due to Inaccessibility</w:t>
      </w:r>
    </w:p>
    <w:p w14:paraId="49AD9342" w14:textId="5BD4ED1F" w:rsidR="00E4004B" w:rsidRPr="005E585A" w:rsidRDefault="74C56229" w:rsidP="67155DE0">
      <w:pPr>
        <w:rPr>
          <w:color w:val="333333"/>
          <w:highlight w:val="white"/>
          <w:lang w:val="en-US"/>
        </w:rPr>
      </w:pPr>
      <w:r w:rsidRPr="005E585A">
        <w:rPr>
          <w:b/>
          <w:bCs/>
          <w:color w:val="333333"/>
          <w:highlight w:val="white"/>
          <w:lang w:val="en-US"/>
        </w:rPr>
        <w:t>Inaccessible facilities.</w:t>
      </w:r>
      <w:r w:rsidRPr="005E585A">
        <w:rPr>
          <w:color w:val="333333"/>
          <w:highlight w:val="white"/>
          <w:lang w:val="en-US"/>
        </w:rPr>
        <w:t xml:space="preserve"> People with disabilities are often forced to train, compete, board (e.g., hotels), and work/volunteer (e.g., sport offices) in inaccessible facilities either because there are insufficient alternatives available (e.g., in small towns), or due to decisions of (mostly) non-disabled coaches and administrators. This can often result in physical harm, including shoulder injuries and pressure sores from “bumming up” stairs, concussions from failed attempts to lift wheelchair users </w:t>
      </w:r>
      <w:proofErr w:type="spellStart"/>
      <w:r w:rsidRPr="005E585A">
        <w:rPr>
          <w:color w:val="333333"/>
          <w:highlight w:val="white"/>
          <w:lang w:val="en-US"/>
        </w:rPr>
        <w:t>up stairs</w:t>
      </w:r>
      <w:proofErr w:type="spellEnd"/>
      <w:r w:rsidRPr="005E585A">
        <w:rPr>
          <w:color w:val="333333"/>
          <w:highlight w:val="white"/>
          <w:lang w:val="en-US"/>
        </w:rPr>
        <w:t xml:space="preserve">, or injuries from navigating with sight-related impairments into unmarked hazards. Many of these issues not only impact physical safety, but also psychological safety given they can impact sense of dignity, lead to social isolation and bullying, and involve non-consensual touch from those performing lifts. Further, </w:t>
      </w:r>
      <w:r w:rsidR="11386BCA" w:rsidRPr="005E585A">
        <w:rPr>
          <w:color w:val="333333"/>
          <w:highlight w:val="white"/>
          <w:lang w:val="en-US"/>
        </w:rPr>
        <w:t>i</w:t>
      </w:r>
      <w:r w:rsidRPr="005E585A">
        <w:rPr>
          <w:color w:val="333333"/>
          <w:highlight w:val="white"/>
          <w:lang w:val="en-US"/>
        </w:rPr>
        <w:t>naccessible routes into and within buildings, poorly marked routes, or ‘alternative accessible routes’ that are underused (e.g., separate loading entrances) can cause athletes to be injured, stuck, or left behind. Separate, often non-public, “accessible” routes are often poorly maintained, increasing the likelihood of getting trapped or injured. These segregated routes also increase the risk of people with disabilities being mugged or to being subjected to physical, psychological or sexual harms by members of the sport community.</w:t>
      </w:r>
    </w:p>
    <w:p w14:paraId="3DEEC669" w14:textId="77777777" w:rsidR="00E4004B" w:rsidRPr="005E585A" w:rsidRDefault="00E4004B">
      <w:pPr>
        <w:rPr>
          <w:color w:val="333333"/>
          <w:highlight w:val="white"/>
        </w:rPr>
      </w:pPr>
    </w:p>
    <w:p w14:paraId="36168142" w14:textId="3C6F4BB3" w:rsidR="00E4004B" w:rsidRPr="005E585A" w:rsidRDefault="74C56229" w:rsidP="67155DE0">
      <w:pPr>
        <w:rPr>
          <w:color w:val="333333"/>
          <w:highlight w:val="white"/>
          <w:lang w:val="en-US"/>
        </w:rPr>
      </w:pPr>
      <w:r w:rsidRPr="005E585A">
        <w:rPr>
          <w:b/>
          <w:bCs/>
          <w:color w:val="333333"/>
          <w:highlight w:val="white"/>
          <w:lang w:val="en-US"/>
        </w:rPr>
        <w:t>Inaccessible washrooms and changing facilities</w:t>
      </w:r>
      <w:r w:rsidRPr="005E585A">
        <w:rPr>
          <w:color w:val="333333"/>
          <w:highlight w:val="white"/>
          <w:lang w:val="en-US"/>
        </w:rPr>
        <w:t xml:space="preserve">. Athletes with disabilities often are forced to train in facilities and stay in hotels that either have no accessible washrooms/changerooms, or insufficient accessible washrooms to support a team. This includes lack of wheelchair accessibility, poor signage/navigation for those with visual impairments, lack of accessible </w:t>
      </w:r>
      <w:r w:rsidRPr="005E585A">
        <w:rPr>
          <w:color w:val="333333"/>
          <w:highlight w:val="white"/>
          <w:lang w:val="en-US"/>
        </w:rPr>
        <w:lastRenderedPageBreak/>
        <w:t>shower facilities, and lack of single-stall washrooms that can accommodate supported transfers and toileting. This results in significant harms and heightened risk of various forms of abuse in relation to: 1) having to non-consensually undress and go to the bathroom in front of teammates, coaches and strangers; 2) Needing to rely on (often untrained and unchosen) others to help them transfer from toilets/bathtubs when naked; and 3) soiling oneself because one was not able to reach a toilet in time, and 4) injuries caused by navigating inaccessible washrooms (e.g</w:t>
      </w:r>
      <w:r w:rsidR="00C30721">
        <w:rPr>
          <w:color w:val="333333"/>
          <w:highlight w:val="white"/>
          <w:lang w:val="en-US"/>
        </w:rPr>
        <w:t>.</w:t>
      </w:r>
      <w:r w:rsidRPr="005E585A">
        <w:rPr>
          <w:color w:val="333333"/>
          <w:highlight w:val="white"/>
          <w:lang w:val="en-US"/>
        </w:rPr>
        <w:t xml:space="preserve">, without grab bars). This issue is compounded by drug testing requirements for competitive athletes to pee upon demand wherever and whenever an agent asks. Additionally, in public and recreation spaces, </w:t>
      </w:r>
      <w:r w:rsidR="00223D0E">
        <w:rPr>
          <w:color w:val="333333"/>
          <w:highlight w:val="white"/>
          <w:lang w:val="en-US"/>
        </w:rPr>
        <w:t xml:space="preserve">where open concept changing and shower spaces are the norm, </w:t>
      </w:r>
      <w:r w:rsidRPr="005E585A">
        <w:rPr>
          <w:color w:val="333333"/>
          <w:highlight w:val="white"/>
          <w:lang w:val="en-US"/>
        </w:rPr>
        <w:t>single-stall</w:t>
      </w:r>
      <w:r w:rsidR="00223D0E">
        <w:rPr>
          <w:color w:val="333333"/>
          <w:highlight w:val="white"/>
          <w:lang w:val="en-US"/>
        </w:rPr>
        <w:t xml:space="preserve"> </w:t>
      </w:r>
      <w:r w:rsidRPr="005E585A">
        <w:rPr>
          <w:color w:val="333333"/>
          <w:highlight w:val="white"/>
          <w:lang w:val="en-US"/>
        </w:rPr>
        <w:t xml:space="preserve">changing areas </w:t>
      </w:r>
      <w:r w:rsidR="00223D0E">
        <w:rPr>
          <w:color w:val="333333"/>
          <w:highlight w:val="white"/>
          <w:lang w:val="en-US"/>
        </w:rPr>
        <w:t xml:space="preserve">that include toilets </w:t>
      </w:r>
      <w:r w:rsidRPr="005E585A">
        <w:rPr>
          <w:color w:val="333333"/>
          <w:highlight w:val="white"/>
          <w:lang w:val="en-US"/>
        </w:rPr>
        <w:t xml:space="preserve">are often a safe haven from unsolicited and inappropriate comments, staring, applauding, and ogling, that stem from curiosity, awe, interest (and sometimes disgust) of different and disabled bodies. All of these experiences can leave disabled individuals feeling a lack of dignity, embarrassed, humiliated, psychologically harmed, and even physically harmed from rushing. </w:t>
      </w:r>
    </w:p>
    <w:p w14:paraId="3656B9AB" w14:textId="77777777" w:rsidR="00E4004B" w:rsidRPr="005E585A" w:rsidRDefault="00E4004B">
      <w:pPr>
        <w:rPr>
          <w:color w:val="333333"/>
          <w:highlight w:val="white"/>
        </w:rPr>
      </w:pPr>
    </w:p>
    <w:p w14:paraId="65887274" w14:textId="77777777" w:rsidR="00E4004B" w:rsidRPr="005E585A" w:rsidRDefault="74C56229" w:rsidP="67155DE0">
      <w:pPr>
        <w:rPr>
          <w:color w:val="333333"/>
          <w:highlight w:val="white"/>
          <w:lang w:val="en-US"/>
        </w:rPr>
      </w:pPr>
      <w:r w:rsidRPr="005E585A">
        <w:rPr>
          <w:b/>
          <w:bCs/>
          <w:color w:val="333333"/>
          <w:highlight w:val="white"/>
          <w:lang w:val="en-US"/>
        </w:rPr>
        <w:t>Inaccessible transportation.</w:t>
      </w:r>
      <w:r w:rsidRPr="005E585A">
        <w:rPr>
          <w:color w:val="333333"/>
          <w:highlight w:val="white"/>
          <w:lang w:val="en-US"/>
        </w:rPr>
        <w:t xml:space="preserve"> Inaccessible buses and other transportation vehicles, often lead to the same kinds of physical and psychological harms as inaccessible buildings (shoulder injuries, pressure sores). In integrated and multi-disability sports, it also often leads to social segregation and increased chance of interpersonal harm, when athletes with mobility impairments are transported in private vehicles, away from teammates and other adults who are taking inaccessible buses. Further when training facilities are chosen that are far away, or not directly on accessible public transportation routes, those with disabilities may be forced to navigate unsafe transportation options, including rides from unsafe adults, and wheeling/walking on roads when sidewalks are non-existent, not cleared of snow, or do not have curb cuts.</w:t>
      </w:r>
    </w:p>
    <w:p w14:paraId="45FB0818" w14:textId="77777777" w:rsidR="00E4004B" w:rsidRPr="005E585A" w:rsidRDefault="00E4004B">
      <w:pPr>
        <w:rPr>
          <w:color w:val="333333"/>
          <w:highlight w:val="white"/>
        </w:rPr>
      </w:pPr>
    </w:p>
    <w:p w14:paraId="03CCF71C" w14:textId="622872FE" w:rsidR="00E4004B" w:rsidRPr="005E585A" w:rsidRDefault="74C56229" w:rsidP="67155DE0">
      <w:pPr>
        <w:rPr>
          <w:color w:val="333333"/>
          <w:highlight w:val="white"/>
          <w:lang w:val="en-US"/>
        </w:rPr>
      </w:pPr>
      <w:r w:rsidRPr="005E585A">
        <w:rPr>
          <w:b/>
          <w:bCs/>
          <w:color w:val="333333"/>
          <w:highlight w:val="white"/>
          <w:lang w:val="en-US"/>
        </w:rPr>
        <w:t xml:space="preserve">Inaccessible or </w:t>
      </w:r>
      <w:r w:rsidR="00C30CE5">
        <w:rPr>
          <w:b/>
          <w:bCs/>
          <w:color w:val="333333"/>
          <w:highlight w:val="white"/>
          <w:lang w:val="en-US"/>
        </w:rPr>
        <w:t>i</w:t>
      </w:r>
      <w:r w:rsidRPr="005E585A">
        <w:rPr>
          <w:b/>
          <w:bCs/>
          <w:color w:val="333333"/>
          <w:highlight w:val="white"/>
          <w:lang w:val="en-US"/>
        </w:rPr>
        <w:t>nappropriate training equipment</w:t>
      </w:r>
      <w:r w:rsidR="00C30CE5">
        <w:rPr>
          <w:b/>
          <w:bCs/>
          <w:color w:val="333333"/>
          <w:highlight w:val="white"/>
          <w:lang w:val="en-US"/>
        </w:rPr>
        <w:t>.</w:t>
      </w:r>
      <w:r w:rsidRPr="005E585A">
        <w:rPr>
          <w:b/>
          <w:bCs/>
          <w:color w:val="333333"/>
          <w:highlight w:val="white"/>
          <w:lang w:val="en-US"/>
        </w:rPr>
        <w:t xml:space="preserve"> </w:t>
      </w:r>
      <w:r w:rsidRPr="005E585A">
        <w:rPr>
          <w:color w:val="333333"/>
          <w:highlight w:val="white"/>
          <w:lang w:val="en-US"/>
        </w:rPr>
        <w:t>Athletes with disabilities are often forced to train in facilities without appropriate adapted equipment, with sport staff and training who have little to no training in disability or adaptation. This means that some forms of training are entirely inaccessible (leading to potential muscle imbalances), while others are improperly adapted for their bodies, leading to injuries. In the broad experiences of the authors, it is common for coaches and trainers –often with no training in adaptation- to rig up adapted uses of mainstream training equipment (e.g., putting wheelchairs on treadmills) that pose significant risk of serious injury. These equipment adaptations, and other improperly considered adaptations to non-disabled training exercises (e.g., chin ups with wheelchairs strapped to one’s body; non-adaptation of swimming technique for limb difference), can lead to biomechanically-improper training technique, and thus both acute and overuse injuries.</w:t>
      </w:r>
    </w:p>
    <w:p w14:paraId="049F31CB" w14:textId="77777777" w:rsidR="00E4004B" w:rsidRPr="005E585A" w:rsidRDefault="00E4004B">
      <w:pPr>
        <w:rPr>
          <w:color w:val="333333"/>
          <w:highlight w:val="white"/>
        </w:rPr>
      </w:pPr>
    </w:p>
    <w:p w14:paraId="52D95E22" w14:textId="3B2BAB38" w:rsidR="00E4004B" w:rsidRPr="005E585A" w:rsidRDefault="74C56229" w:rsidP="67155DE0">
      <w:pPr>
        <w:rPr>
          <w:color w:val="333333"/>
          <w:highlight w:val="white"/>
          <w:lang w:val="en-US"/>
        </w:rPr>
      </w:pPr>
      <w:r w:rsidRPr="005E585A">
        <w:rPr>
          <w:b/>
          <w:bCs/>
          <w:color w:val="333333"/>
          <w:highlight w:val="white"/>
          <w:lang w:val="en-US"/>
        </w:rPr>
        <w:t>Inaccessible communications and information</w:t>
      </w:r>
      <w:r w:rsidR="00C30CE5">
        <w:rPr>
          <w:b/>
          <w:bCs/>
          <w:color w:val="333333"/>
          <w:highlight w:val="white"/>
          <w:lang w:val="en-US"/>
        </w:rPr>
        <w:t>.</w:t>
      </w:r>
      <w:r w:rsidRPr="005E585A">
        <w:rPr>
          <w:color w:val="333333"/>
          <w:highlight w:val="white"/>
          <w:lang w:val="en-US"/>
        </w:rPr>
        <w:t xml:space="preserve"> A major barrier to safe, accessible, and meaningful sport experiences is clear and accessible communication. This includes having program-related information (on websites, social media, forms, athletes contracts) available in a format that is readable by those using assistive software (e.g., by screen readers), that is at an appropriate language level: issues that are widespread for Canadian sport organizations, even those with programs for people with visual impairments.</w:t>
      </w:r>
      <w:r w:rsidR="00E4004B" w:rsidRPr="005E585A">
        <w:rPr>
          <w:color w:val="333333"/>
          <w:highlight w:val="white"/>
          <w:vertAlign w:val="superscript"/>
          <w:lang w:val="en-US"/>
        </w:rPr>
        <w:endnoteReference w:id="42"/>
      </w:r>
      <w:r w:rsidRPr="005E585A">
        <w:rPr>
          <w:color w:val="333333"/>
          <w:highlight w:val="white"/>
          <w:lang w:val="en-US"/>
        </w:rPr>
        <w:t xml:space="preserve"> Further, disability sport programs often offer far less information about programs on websites than non-disabled programs.</w:t>
      </w:r>
      <w:r w:rsidR="00E4004B" w:rsidRPr="005E585A">
        <w:rPr>
          <w:color w:val="333333"/>
          <w:highlight w:val="white"/>
          <w:vertAlign w:val="superscript"/>
          <w:lang w:val="en-US"/>
        </w:rPr>
        <w:endnoteReference w:id="43"/>
      </w:r>
      <w:r w:rsidRPr="005E585A">
        <w:rPr>
          <w:color w:val="333333"/>
          <w:highlight w:val="white"/>
          <w:lang w:val="en-US"/>
        </w:rPr>
        <w:t xml:space="preserve">  Knowing, for example, who is coaching, where programs are being held, accessibility factors, and access to equipment are crucial elements for navigating safety issues for people with </w:t>
      </w:r>
      <w:r w:rsidRPr="005E585A">
        <w:rPr>
          <w:color w:val="333333"/>
          <w:highlight w:val="white"/>
          <w:lang w:val="en-US"/>
        </w:rPr>
        <w:lastRenderedPageBreak/>
        <w:t>disabilities, and thus for offering informed consent</w:t>
      </w:r>
      <w:r w:rsidR="0064640E" w:rsidRPr="005E585A">
        <w:rPr>
          <w:rStyle w:val="EndnoteReference"/>
          <w:color w:val="333333"/>
          <w:highlight w:val="white"/>
          <w:lang w:val="en-US"/>
        </w:rPr>
        <w:endnoteReference w:id="44"/>
      </w:r>
      <w:r w:rsidRPr="005E585A">
        <w:rPr>
          <w:color w:val="333333"/>
          <w:highlight w:val="white"/>
          <w:lang w:val="en-US"/>
        </w:rPr>
        <w:t>. Verbal communication during sports activities can also be a barrier, and can lead to harms, when language level, hearing-related disabilities, learning disabilities, and trauma experiences are not taken into consideration, yelling important directions during a drill may lead to collisions by those who cannot hear or understand the directions, and the yelling itself can make sport feel unsafe for those who have experienced psychological abuse. Specifically, Deaf athletes and coaches contend with assumptions that their experiences in sport are identical to that of their hearing counterparts upholding dominant exclusionary practices of not accommodating Sign Language, captioning, alternate learning and evaluation options</w:t>
      </w:r>
      <w:r w:rsidR="00E4004B" w:rsidRPr="005E585A">
        <w:rPr>
          <w:color w:val="333333"/>
          <w:highlight w:val="white"/>
          <w:vertAlign w:val="superscript"/>
          <w:lang w:val="en-US"/>
        </w:rPr>
        <w:endnoteReference w:id="45"/>
      </w:r>
      <w:r w:rsidRPr="005E585A">
        <w:rPr>
          <w:color w:val="333333"/>
          <w:highlight w:val="white"/>
          <w:lang w:val="en-US"/>
        </w:rPr>
        <w:t>.</w:t>
      </w:r>
    </w:p>
    <w:p w14:paraId="53128261" w14:textId="77777777" w:rsidR="00E4004B" w:rsidRPr="005E585A" w:rsidRDefault="00E4004B">
      <w:pPr>
        <w:rPr>
          <w:color w:val="333333"/>
          <w:highlight w:val="white"/>
        </w:rPr>
      </w:pPr>
    </w:p>
    <w:p w14:paraId="675B75DD" w14:textId="099632EC" w:rsidR="00E4004B" w:rsidRPr="005E585A" w:rsidRDefault="74C56229" w:rsidP="67155DE0">
      <w:pPr>
        <w:rPr>
          <w:color w:val="333333"/>
          <w:highlight w:val="white"/>
          <w:lang w:val="en-US"/>
        </w:rPr>
      </w:pPr>
      <w:r w:rsidRPr="005E585A">
        <w:rPr>
          <w:b/>
          <w:bCs/>
          <w:color w:val="333333"/>
          <w:highlight w:val="white"/>
          <w:lang w:val="en-US"/>
        </w:rPr>
        <w:t>Refusing of rights to accommodations and accessibility</w:t>
      </w:r>
      <w:r w:rsidR="00C30CE5">
        <w:rPr>
          <w:b/>
          <w:bCs/>
          <w:color w:val="333333"/>
          <w:highlight w:val="white"/>
          <w:lang w:val="en-US"/>
        </w:rPr>
        <w:t>.</w:t>
      </w:r>
      <w:r w:rsidRPr="005E585A">
        <w:rPr>
          <w:color w:val="333333"/>
          <w:highlight w:val="white"/>
          <w:lang w:val="en-US"/>
        </w:rPr>
        <w:t xml:space="preserve"> People with disabilities have a right to reasonable accommodations where discriminatory barriers exist (including any of the access-related barriers above). Sports organizations rarely offer formal accommodation processes, or budget appropriately for them. As such, many disabled athletes, coaches, board members and staff are forced to engage in sporting environments without their legal rights to support and access being met. Not only does this lead to unsafe environments and experiences, but the athletes who do request accessibility and accommodations are often punished for being ‘problematic’ and ‘difficult’.</w:t>
      </w:r>
      <w:r w:rsidR="00E4004B" w:rsidRPr="005E585A">
        <w:rPr>
          <w:color w:val="333333"/>
          <w:highlight w:val="white"/>
          <w:vertAlign w:val="superscript"/>
          <w:lang w:val="en-US"/>
        </w:rPr>
        <w:endnoteReference w:id="46"/>
      </w:r>
      <w:r w:rsidRPr="005E585A">
        <w:rPr>
          <w:color w:val="333333"/>
          <w:highlight w:val="white"/>
          <w:lang w:val="en-US"/>
        </w:rPr>
        <w:t xml:space="preserve"> For example, the International Paralympic Committee only allocates a certain number of accreditations per country, leaving National Paralympic Committees to choose between sport-performance staff or personal support staff. Often sport-related needs are prioritized over daily support needs. As an example, sport assistants (such as the ‘guides’ or ‘pilots’ for athletes with visual impairments or the </w:t>
      </w:r>
      <w:r w:rsidR="00C30721">
        <w:rPr>
          <w:color w:val="333333"/>
          <w:highlight w:val="white"/>
          <w:lang w:val="en-US"/>
        </w:rPr>
        <w:t>‘performance partners’</w:t>
      </w:r>
      <w:r w:rsidRPr="005E585A">
        <w:rPr>
          <w:color w:val="333333"/>
          <w:highlight w:val="white"/>
          <w:lang w:val="en-US"/>
        </w:rPr>
        <w:t xml:space="preserve"> in Boccia) are often asked to provide off-field support during travel including accompanying athletes to dining halls, assisting with dressing or even attending medical appointments. Frequently, these</w:t>
      </w:r>
      <w:r w:rsidRPr="005E585A">
        <w:rPr>
          <w:color w:val="444746"/>
          <w:highlight w:val="white"/>
          <w:lang w:val="en-US"/>
        </w:rPr>
        <w:t xml:space="preserve"> situations place athletes and the non-disabled individual in vulnerable and compromising positions.</w:t>
      </w:r>
      <w:r w:rsidRPr="005E585A">
        <w:rPr>
          <w:color w:val="333333"/>
          <w:highlight w:val="white"/>
          <w:lang w:val="en-US"/>
        </w:rPr>
        <w:t xml:space="preserve"> In other instances, athletes with disabilities feel they have no choice except to withdraw because their access needs have not been met. In one highly publicized case, USA Paralympic Gold medalist Rebecca Meyers, a deaf-blind athlete who qualified for the Tokyo Paralympics, was denied a personal support assistant and was forced to withdraw from the team.</w:t>
      </w:r>
      <w:r w:rsidR="00E4004B" w:rsidRPr="005E585A">
        <w:rPr>
          <w:color w:val="333333"/>
          <w:highlight w:val="white"/>
          <w:vertAlign w:val="superscript"/>
          <w:lang w:val="en-US"/>
        </w:rPr>
        <w:endnoteReference w:id="47"/>
      </w:r>
      <w:r w:rsidRPr="005E585A">
        <w:rPr>
          <w:color w:val="333333"/>
          <w:highlight w:val="white"/>
          <w:lang w:val="en-US"/>
        </w:rPr>
        <w:t xml:space="preserve"> Of note, disabled athletes also report experiencing a lack of accessibility, and accommodation within Safe Sport reporting processes.</w:t>
      </w:r>
      <w:r w:rsidR="00E4004B" w:rsidRPr="005E585A">
        <w:rPr>
          <w:color w:val="333333"/>
          <w:highlight w:val="white"/>
          <w:vertAlign w:val="superscript"/>
          <w:lang w:val="en-US"/>
        </w:rPr>
        <w:endnoteReference w:id="48"/>
      </w:r>
      <w:r w:rsidRPr="005E585A">
        <w:rPr>
          <w:color w:val="333333"/>
          <w:highlight w:val="white"/>
          <w:lang w:val="en-US"/>
        </w:rPr>
        <w:t xml:space="preserve">  </w:t>
      </w:r>
    </w:p>
    <w:p w14:paraId="62486C05" w14:textId="77777777" w:rsidR="00E4004B" w:rsidRPr="005E585A" w:rsidRDefault="00E4004B">
      <w:pPr>
        <w:rPr>
          <w:color w:val="333333"/>
          <w:highlight w:val="white"/>
        </w:rPr>
      </w:pPr>
    </w:p>
    <w:p w14:paraId="6E52CA2F" w14:textId="44FE451C" w:rsidR="00E4004B" w:rsidRPr="005E585A" w:rsidRDefault="74C56229" w:rsidP="67155DE0">
      <w:pPr>
        <w:rPr>
          <w:color w:val="333333"/>
          <w:highlight w:val="white"/>
          <w:lang w:val="en-US"/>
        </w:rPr>
      </w:pPr>
      <w:r w:rsidRPr="005E585A">
        <w:rPr>
          <w:b/>
          <w:bCs/>
          <w:color w:val="333333"/>
          <w:highlight w:val="white"/>
          <w:lang w:val="en-US"/>
        </w:rPr>
        <w:t xml:space="preserve">Lack of required training around accessibility and disability. </w:t>
      </w:r>
      <w:r w:rsidRPr="005E585A">
        <w:rPr>
          <w:color w:val="333333"/>
          <w:highlight w:val="white"/>
          <w:lang w:val="en-US"/>
        </w:rPr>
        <w:t xml:space="preserve"> Board members, administrators, coaches,</w:t>
      </w:r>
      <w:r w:rsidR="00E4004B" w:rsidRPr="005E585A">
        <w:rPr>
          <w:color w:val="333333"/>
          <w:highlight w:val="white"/>
          <w:vertAlign w:val="superscript"/>
          <w:lang w:val="en-US"/>
        </w:rPr>
        <w:endnoteReference w:id="49"/>
      </w:r>
      <w:r w:rsidRPr="005E585A">
        <w:rPr>
          <w:color w:val="333333"/>
          <w:highlight w:val="white"/>
          <w:lang w:val="en-US"/>
        </w:rPr>
        <w:t xml:space="preserve"> officials, trainers, medical staff, classifiers, volunteers, and guides are often not specifically trained in the knowledge and skills required to safely support people with disabilities</w:t>
      </w:r>
      <w:r w:rsidR="00C30CE5">
        <w:rPr>
          <w:color w:val="333333"/>
          <w:highlight w:val="white"/>
          <w:lang w:val="en-US"/>
        </w:rPr>
        <w:t>.</w:t>
      </w:r>
      <w:r w:rsidR="00E4004B" w:rsidRPr="005E585A">
        <w:rPr>
          <w:color w:val="333333"/>
          <w:highlight w:val="white"/>
          <w:vertAlign w:val="superscript"/>
          <w:lang w:val="en-US"/>
        </w:rPr>
        <w:endnoteReference w:id="50"/>
      </w:r>
      <w:r w:rsidRPr="005E585A">
        <w:rPr>
          <w:color w:val="333333"/>
          <w:highlight w:val="white"/>
          <w:lang w:val="en-US"/>
        </w:rPr>
        <w:t xml:space="preserve"> Depending on the community one is serving, this may include determining accessibility; safe transfer technique; recognizing and mitigating ableism, sanism, and audism; reducing disability-specific injuries (e.g., shoulder injuries for those who wheel, pressure sores) neurodivergent-affirming supports, parasport-specific techniques (wheeling, swimming with limb-difference) and recognizing relevant disability-specific harms outlined in this document. Further, a lack of awareness around ‘crip time’ and the need for adaptive, alternative schedules for disabled bodies and minds can also create harm. For example, tournament schedules that start at 9 a.m. may require many disabled participants to begin their day at unreasonably early hours, or may not align at all with possible care and transportation schedules, creating unnecessary barriers to participation and performance</w:t>
      </w:r>
      <w:r w:rsidR="00C30CE5">
        <w:rPr>
          <w:color w:val="333333"/>
          <w:highlight w:val="white"/>
          <w:lang w:val="en-US"/>
        </w:rPr>
        <w:t>.</w:t>
      </w:r>
      <w:r w:rsidR="0064640E" w:rsidRPr="005E585A">
        <w:rPr>
          <w:rStyle w:val="EndnoteReference"/>
          <w:color w:val="333333"/>
          <w:highlight w:val="white"/>
          <w:lang w:val="en-US"/>
        </w:rPr>
        <w:endnoteReference w:id="51"/>
      </w:r>
    </w:p>
    <w:p w14:paraId="10D74317" w14:textId="77777777" w:rsidR="00E4004B" w:rsidRPr="005E585A" w:rsidRDefault="00E4004B" w:rsidP="00E4004B">
      <w:pPr>
        <w:pStyle w:val="Heading3"/>
        <w:jc w:val="center"/>
        <w:rPr>
          <w:rFonts w:ascii="Times New Roman" w:hAnsi="Times New Roman" w:cs="Times New Roman"/>
          <w:b/>
          <w:bCs/>
        </w:rPr>
      </w:pPr>
      <w:bookmarkStart w:id="8" w:name="_bt3zeotpms6x" w:colFirst="0" w:colLast="0"/>
      <w:bookmarkEnd w:id="8"/>
      <w:r w:rsidRPr="005E585A">
        <w:rPr>
          <w:rFonts w:ascii="Times New Roman" w:hAnsi="Times New Roman" w:cs="Times New Roman"/>
          <w:b/>
          <w:bCs/>
        </w:rPr>
        <w:lastRenderedPageBreak/>
        <w:t>Harms due to Undermined Autonomy</w:t>
      </w:r>
    </w:p>
    <w:p w14:paraId="0BE2764B" w14:textId="2FF12726" w:rsidR="00E4004B" w:rsidRPr="005E585A" w:rsidRDefault="00E4004B">
      <w:pPr>
        <w:rPr>
          <w:color w:val="333333"/>
          <w:highlight w:val="white"/>
        </w:rPr>
      </w:pPr>
      <w:r w:rsidRPr="005E585A">
        <w:rPr>
          <w:b/>
          <w:color w:val="333333"/>
          <w:highlight w:val="white"/>
        </w:rPr>
        <w:t>Programs run by (mostly) non-disabled decision makers</w:t>
      </w:r>
      <w:r w:rsidR="00C30CE5">
        <w:rPr>
          <w:b/>
          <w:color w:val="333333"/>
          <w:highlight w:val="white"/>
        </w:rPr>
        <w:t>.</w:t>
      </w:r>
      <w:r w:rsidRPr="005E585A">
        <w:rPr>
          <w:color w:val="333333"/>
          <w:highlight w:val="white"/>
        </w:rPr>
        <w:t xml:space="preserve"> The majority of administrators, board members and coaches making decisions that impact safety for those with disabilities do not identify as having a disability.</w:t>
      </w:r>
      <w:r w:rsidRPr="005E585A">
        <w:rPr>
          <w:color w:val="333333"/>
          <w:highlight w:val="white"/>
          <w:vertAlign w:val="superscript"/>
        </w:rPr>
        <w:endnoteReference w:id="52"/>
      </w:r>
      <w:r w:rsidRPr="005E585A">
        <w:rPr>
          <w:color w:val="333333"/>
          <w:highlight w:val="white"/>
        </w:rPr>
        <w:t xml:space="preserve"> This is true with mainstream sport contexts, as well as in the majority of disability-specific sport contexts other than Deaf sport (which mandates Deaf leadership). As noted, most of this leadership have no specific education or training to support them. As a result, even well-meaning sport practices and policies can inadvertently decrease athlete safety, wellbeing, and participation because they are not based on the actual needs of disabled people, and do not support disabled people to make decisions about their own lives, bodies, and sports.</w:t>
      </w:r>
      <w:r w:rsidRPr="005E585A">
        <w:rPr>
          <w:color w:val="333333"/>
          <w:highlight w:val="white"/>
          <w:vertAlign w:val="superscript"/>
        </w:rPr>
        <w:endnoteReference w:id="53"/>
      </w:r>
      <w:r w:rsidRPr="005E585A">
        <w:rPr>
          <w:color w:val="333333"/>
          <w:highlight w:val="white"/>
        </w:rPr>
        <w:t xml:space="preserve"> Even when athlete’s committees are created to represent athletes with disabilities’ perspectives, these rarely have any decision-making power.</w:t>
      </w:r>
    </w:p>
    <w:p w14:paraId="4101652C" w14:textId="77777777" w:rsidR="00E4004B" w:rsidRPr="005E585A" w:rsidRDefault="00E4004B">
      <w:pPr>
        <w:rPr>
          <w:color w:val="333333"/>
          <w:highlight w:val="white"/>
        </w:rPr>
      </w:pPr>
    </w:p>
    <w:p w14:paraId="099EC9E8" w14:textId="0423AC89" w:rsidR="00E4004B" w:rsidRPr="005E585A" w:rsidRDefault="74C56229" w:rsidP="67155DE0">
      <w:pPr>
        <w:rPr>
          <w:color w:val="333333"/>
          <w:highlight w:val="white"/>
          <w:lang w:val="en-US"/>
        </w:rPr>
      </w:pPr>
      <w:r w:rsidRPr="005E585A">
        <w:rPr>
          <w:b/>
          <w:bCs/>
          <w:color w:val="333333"/>
          <w:highlight w:val="white"/>
          <w:lang w:val="en-US"/>
        </w:rPr>
        <w:t>Lack of choice related to programs, coaches, and training staff</w:t>
      </w:r>
      <w:r w:rsidR="00875B9E">
        <w:rPr>
          <w:b/>
          <w:bCs/>
          <w:color w:val="333333"/>
          <w:highlight w:val="white"/>
          <w:lang w:val="en-US"/>
        </w:rPr>
        <w:t xml:space="preserve">. </w:t>
      </w:r>
      <w:r w:rsidR="00875B9E">
        <w:rPr>
          <w:color w:val="333333"/>
          <w:highlight w:val="white"/>
          <w:lang w:val="en-US"/>
        </w:rPr>
        <w:t>W</w:t>
      </w:r>
      <w:r w:rsidRPr="005E585A">
        <w:rPr>
          <w:color w:val="333333"/>
          <w:highlight w:val="white"/>
          <w:lang w:val="en-US"/>
        </w:rPr>
        <w:t xml:space="preserve">hile non-disabled athletes and coaches (below elite levels) often have the choice to leave an unsafe environment to participate in different programs, those with disabilities often do not have these same choices, given the relative lack of program options in most cities. Furthermore, some athletes rely in more substantial ways on sport staff for their safety than non-disabled athletes (e.g., for transfers, toileting, guiding), meaning that they also may not have much choice over these very intimate and potentially dangerous activities.  </w:t>
      </w:r>
    </w:p>
    <w:p w14:paraId="4B99056E" w14:textId="77777777" w:rsidR="00E4004B" w:rsidRPr="005E585A" w:rsidRDefault="00E4004B">
      <w:pPr>
        <w:rPr>
          <w:color w:val="333333"/>
          <w:highlight w:val="white"/>
        </w:rPr>
      </w:pPr>
    </w:p>
    <w:p w14:paraId="7263DC4F" w14:textId="792CF131" w:rsidR="00E4004B" w:rsidRPr="005E585A" w:rsidRDefault="74C56229" w:rsidP="67155DE0">
      <w:pPr>
        <w:rPr>
          <w:color w:val="333333"/>
          <w:highlight w:val="white"/>
          <w:lang w:val="en-US"/>
        </w:rPr>
      </w:pPr>
      <w:r w:rsidRPr="005E585A">
        <w:rPr>
          <w:b/>
          <w:bCs/>
          <w:color w:val="333333"/>
          <w:highlight w:val="white"/>
          <w:lang w:val="en-US"/>
        </w:rPr>
        <w:t xml:space="preserve">Lack of opportunities </w:t>
      </w:r>
      <w:r w:rsidRPr="005E585A">
        <w:rPr>
          <w:b/>
          <w:bCs/>
          <w:i/>
          <w:iCs/>
          <w:color w:val="333333"/>
          <w:highlight w:val="white"/>
          <w:lang w:val="en-US"/>
        </w:rPr>
        <w:t>outside of sport</w:t>
      </w:r>
      <w:r w:rsidR="00875B9E">
        <w:rPr>
          <w:b/>
          <w:bCs/>
          <w:color w:val="333333"/>
          <w:highlight w:val="white"/>
          <w:lang w:val="en-US"/>
        </w:rPr>
        <w:t>.</w:t>
      </w:r>
      <w:r w:rsidRPr="005E585A">
        <w:rPr>
          <w:b/>
          <w:bCs/>
          <w:color w:val="333333"/>
          <w:highlight w:val="white"/>
          <w:lang w:val="en-US"/>
        </w:rPr>
        <w:t xml:space="preserve"> </w:t>
      </w:r>
      <w:r w:rsidR="00875B9E">
        <w:rPr>
          <w:color w:val="333333"/>
          <w:highlight w:val="white"/>
          <w:lang w:val="en-US"/>
        </w:rPr>
        <w:t>I</w:t>
      </w:r>
      <w:r w:rsidRPr="005E585A">
        <w:rPr>
          <w:color w:val="333333"/>
          <w:highlight w:val="white"/>
          <w:lang w:val="en-US"/>
        </w:rPr>
        <w:t xml:space="preserve">n addition to having limited choice ‘in sport’, disabled people may feel compelled to stay in unsafe sporting environments due to limited opportunities outside of sport. For example, in research conducted in the UK, Paralympians described the funding provided to them as athletes (the equivalent of the Canadian ‘national team carding system’) as one of their few sources of income that did not result in </w:t>
      </w:r>
      <w:proofErr w:type="spellStart"/>
      <w:r w:rsidRPr="005E585A">
        <w:rPr>
          <w:color w:val="333333"/>
          <w:highlight w:val="white"/>
          <w:lang w:val="en-US"/>
        </w:rPr>
        <w:t>clawbacks</w:t>
      </w:r>
      <w:proofErr w:type="spellEnd"/>
      <w:r w:rsidRPr="005E585A">
        <w:rPr>
          <w:color w:val="333333"/>
          <w:highlight w:val="white"/>
          <w:lang w:val="en-US"/>
        </w:rPr>
        <w:t xml:space="preserve"> of their government disability benefits.</w:t>
      </w:r>
      <w:r w:rsidR="00E4004B" w:rsidRPr="005E585A">
        <w:rPr>
          <w:color w:val="333333"/>
          <w:highlight w:val="white"/>
          <w:vertAlign w:val="superscript"/>
          <w:lang w:val="en-US"/>
        </w:rPr>
        <w:endnoteReference w:id="54"/>
      </w:r>
      <w:r w:rsidRPr="005E585A">
        <w:rPr>
          <w:color w:val="333333"/>
          <w:highlight w:val="white"/>
          <w:lang w:val="en-US"/>
        </w:rPr>
        <w:t xml:space="preserve"> While Paralympians receive less funding and sponsorship opportunities than Olympians, disabled athletes report being dependent on sport funding precisely because of limited employment options and discrimination towards disabled people in the workplace. </w:t>
      </w:r>
    </w:p>
    <w:p w14:paraId="1299C43A" w14:textId="77777777" w:rsidR="00E4004B" w:rsidRPr="005E585A" w:rsidRDefault="00E4004B">
      <w:pPr>
        <w:rPr>
          <w:color w:val="333333"/>
          <w:highlight w:val="white"/>
        </w:rPr>
      </w:pPr>
    </w:p>
    <w:p w14:paraId="60C8D372" w14:textId="7327FECA" w:rsidR="00E4004B" w:rsidRPr="005E585A" w:rsidRDefault="74C56229" w:rsidP="67155DE0">
      <w:pPr>
        <w:rPr>
          <w:color w:val="333333"/>
          <w:highlight w:val="white"/>
          <w:lang w:val="en-US"/>
        </w:rPr>
      </w:pPr>
      <w:r w:rsidRPr="005E585A">
        <w:rPr>
          <w:b/>
          <w:bCs/>
          <w:lang w:val="en-US"/>
        </w:rPr>
        <w:t>Lack of autonomy in selection of sport assistants</w:t>
      </w:r>
      <w:r w:rsidR="00875B9E">
        <w:rPr>
          <w:b/>
          <w:bCs/>
          <w:lang w:val="en-US"/>
        </w:rPr>
        <w:t>.</w:t>
      </w:r>
      <w:r w:rsidRPr="005E585A">
        <w:rPr>
          <w:b/>
          <w:bCs/>
          <w:i/>
          <w:iCs/>
          <w:lang w:val="en-US"/>
        </w:rPr>
        <w:t xml:space="preserve"> </w:t>
      </w:r>
      <w:r w:rsidRPr="005E585A">
        <w:rPr>
          <w:lang w:val="en-US"/>
        </w:rPr>
        <w:t xml:space="preserve">Of the 29 sports currently on the Paralympic program, 8 include categories for athletes with disabilities that require ‘on field’ assistants. These included non-disabled individuals who compete with or alongside athletes such as the guides of Blind runners or the </w:t>
      </w:r>
      <w:r w:rsidR="00E835E3" w:rsidRPr="005E585A">
        <w:rPr>
          <w:lang w:val="en-US"/>
        </w:rPr>
        <w:t>performance partners</w:t>
      </w:r>
      <w:r w:rsidRPr="005E585A">
        <w:rPr>
          <w:lang w:val="en-US"/>
        </w:rPr>
        <w:t xml:space="preserve"> in Boccia who assist athletes by moving/positioning the ramps used by athletes to release the ball. Notably, while these individuals are essential to the participation of athletes with ‘high support needs,’ they operate in a grey space and are considered neither athlete nor team staff. Most NSOs do not provide transparent documentation pertaining to how these individuals are selected: that is, whether athletes have choice, or whether training or even safety checks are required. In </w:t>
      </w:r>
      <w:r w:rsidR="60E8C2E0" w:rsidRPr="005E585A">
        <w:rPr>
          <w:lang w:val="en-US"/>
        </w:rPr>
        <w:t>fact,</w:t>
      </w:r>
      <w:r w:rsidRPr="005E585A">
        <w:rPr>
          <w:lang w:val="en-US"/>
        </w:rPr>
        <w:t xml:space="preserve"> neither </w:t>
      </w:r>
      <w:proofErr w:type="spellStart"/>
      <w:r w:rsidRPr="005E585A">
        <w:rPr>
          <w:lang w:val="en-US"/>
        </w:rPr>
        <w:t>Nordiq</w:t>
      </w:r>
      <w:proofErr w:type="spellEnd"/>
      <w:r w:rsidRPr="005E585A">
        <w:rPr>
          <w:lang w:val="en-US"/>
        </w:rPr>
        <w:t xml:space="preserve"> Canada's para-</w:t>
      </w:r>
      <w:proofErr w:type="spellStart"/>
      <w:r w:rsidRPr="005E585A">
        <w:rPr>
          <w:lang w:val="en-US"/>
        </w:rPr>
        <w:t>nordic</w:t>
      </w:r>
      <w:proofErr w:type="spellEnd"/>
      <w:r w:rsidRPr="005E585A">
        <w:rPr>
          <w:lang w:val="en-US"/>
        </w:rPr>
        <w:t xml:space="preserve"> selection documents from 2024 or Boccia Canada’s from 2025 even mentions guides or </w:t>
      </w:r>
      <w:r w:rsidR="005168A7" w:rsidRPr="005E585A">
        <w:rPr>
          <w:lang w:val="en-US"/>
        </w:rPr>
        <w:t>performance partners</w:t>
      </w:r>
      <w:r w:rsidRPr="005E585A">
        <w:rPr>
          <w:lang w:val="en-US"/>
        </w:rPr>
        <w:t xml:space="preserve"> at al</w:t>
      </w:r>
      <w:r w:rsidRPr="005E585A">
        <w:rPr>
          <w:rFonts w:eastAsia="Roboto"/>
          <w:color w:val="444746"/>
          <w:sz w:val="21"/>
          <w:szCs w:val="21"/>
          <w:highlight w:val="white"/>
          <w:lang w:val="en-US"/>
        </w:rPr>
        <w:t>l</w:t>
      </w:r>
      <w:r w:rsidRPr="005E585A">
        <w:rPr>
          <w:lang w:val="en-US"/>
        </w:rPr>
        <w:t xml:space="preserve">. The partnership between athletes and their competition </w:t>
      </w:r>
      <w:r w:rsidR="005168A7" w:rsidRPr="005E585A">
        <w:rPr>
          <w:lang w:val="en-US"/>
        </w:rPr>
        <w:t>guides and partners</w:t>
      </w:r>
      <w:r w:rsidRPr="005E585A">
        <w:rPr>
          <w:lang w:val="en-US"/>
        </w:rPr>
        <w:t xml:space="preserve"> is close and interdependent and athletes need to have trust in their partners - and yet athletes with visual impairments have reported that the decision of who will serve as their guide in both training and major competitions is frequently outside their control.</w:t>
      </w:r>
      <w:r w:rsidR="00E4004B" w:rsidRPr="005E585A">
        <w:rPr>
          <w:vertAlign w:val="superscript"/>
          <w:lang w:val="en-US"/>
        </w:rPr>
        <w:endnoteReference w:id="55"/>
      </w:r>
      <w:r w:rsidRPr="005E585A">
        <w:rPr>
          <w:lang w:val="en-US"/>
        </w:rPr>
        <w:t xml:space="preserve"> The lack of clarity around the role puts both athletes and assistants in vulnerable and dependent positions. For example, when there are no policies around the selection of guides, there is also no opportunity for an </w:t>
      </w:r>
      <w:r w:rsidRPr="005E585A">
        <w:rPr>
          <w:lang w:val="en-US"/>
        </w:rPr>
        <w:lastRenderedPageBreak/>
        <w:t>athlete or guide to appeal a selection decision. While policies are often in place to ensure staff travelling with athletes have undergone ‘criminal record checks’ or ‘safe sport training’ or signed a ‘code of conduct,’ these are rarely requirements for guides and assistants or are inconsistently applied. Additionally, the guides and assistants may themselves be minors.</w:t>
      </w:r>
    </w:p>
    <w:p w14:paraId="4DDBEF00" w14:textId="77777777" w:rsidR="00E4004B" w:rsidRPr="005E585A" w:rsidRDefault="00E4004B">
      <w:pPr>
        <w:rPr>
          <w:b/>
          <w:color w:val="333333"/>
          <w:highlight w:val="white"/>
        </w:rPr>
      </w:pPr>
    </w:p>
    <w:p w14:paraId="46AF5F37" w14:textId="77777777" w:rsidR="00E4004B" w:rsidRPr="005E585A" w:rsidRDefault="74C56229" w:rsidP="67155DE0">
      <w:pPr>
        <w:rPr>
          <w:lang w:val="en-US"/>
        </w:rPr>
      </w:pPr>
      <w:r w:rsidRPr="005E585A">
        <w:rPr>
          <w:b/>
          <w:bCs/>
          <w:lang w:val="en-US"/>
        </w:rPr>
        <w:t xml:space="preserve">Issues around guardianship, consent and assent. </w:t>
      </w:r>
      <w:r w:rsidRPr="005E585A">
        <w:rPr>
          <w:lang w:val="en-US"/>
        </w:rPr>
        <w:t>Some athletes with cognitive, complex, or mental health-related disabilities may have had their legal right to make decisions about their own body, their life, their finances, activities, and even their legal right to consent taken away and given to a legal guardian. In some cases, legal guardians rely heavily on the communicated desires and assent of the person with a disability. In other cases, there may be a significant friction between the legal consent-by-proxy of the guardian, and the expressed wishes (assent) of the person with a disability, which may lead to coerced or unsafe experiences in sport. Further, if the guardian is not present during sporting activities, athletes can sometimes have their expressed wishes ignored, misunderstood (if there are communication-related disabilities), or overruled. When guardianship is given to a coach or trainer as a proxy, it can extend the risk of physical, sexual, psychological and financial abuse substantially.</w:t>
      </w:r>
    </w:p>
    <w:p w14:paraId="3461D779" w14:textId="77777777" w:rsidR="00E4004B" w:rsidRPr="005E585A" w:rsidRDefault="00E4004B"/>
    <w:p w14:paraId="0B8EC635" w14:textId="7DAAC012" w:rsidR="00E4004B" w:rsidRPr="005E585A" w:rsidRDefault="74C56229" w:rsidP="67155DE0">
      <w:pPr>
        <w:rPr>
          <w:lang w:val="en-US"/>
        </w:rPr>
      </w:pPr>
      <w:r w:rsidRPr="005E585A">
        <w:rPr>
          <w:b/>
          <w:bCs/>
          <w:color w:val="333333"/>
          <w:highlight w:val="white"/>
          <w:lang w:val="en-US"/>
        </w:rPr>
        <w:t xml:space="preserve">Safe Sport Policy Experts rarely include disability perspectives, knowledges, or approaches. </w:t>
      </w:r>
      <w:r w:rsidRPr="005E585A">
        <w:rPr>
          <w:color w:val="333333"/>
          <w:highlight w:val="white"/>
          <w:lang w:val="en-US"/>
        </w:rPr>
        <w:t>Safe Sport policies, practices and mechanisms across the Canadian sport system have yet to meaningfully include the experiences and harms of disabled participants.</w:t>
      </w:r>
      <w:r w:rsidR="00E4004B" w:rsidRPr="005E585A">
        <w:rPr>
          <w:color w:val="333333"/>
          <w:highlight w:val="white"/>
          <w:vertAlign w:val="superscript"/>
          <w:lang w:val="en-US"/>
        </w:rPr>
        <w:endnoteReference w:id="56"/>
      </w:r>
      <w:r w:rsidRPr="005E585A">
        <w:rPr>
          <w:color w:val="333333"/>
          <w:highlight w:val="white"/>
          <w:lang w:val="en-US"/>
        </w:rPr>
        <w:t xml:space="preserve"> They have also perpetuated ableism and failed to uphold basic disability rights, such as the duty to accommodate, and the right to non-discriminatory treatment</w:t>
      </w:r>
      <w:r w:rsidR="00C30CE5">
        <w:rPr>
          <w:color w:val="333333"/>
          <w:highlight w:val="white"/>
          <w:lang w:val="en-US"/>
        </w:rPr>
        <w:t>.</w:t>
      </w:r>
      <w:r w:rsidR="00E4004B" w:rsidRPr="005E585A">
        <w:rPr>
          <w:color w:val="333333"/>
          <w:highlight w:val="white"/>
          <w:vertAlign w:val="superscript"/>
          <w:lang w:val="en-US"/>
        </w:rPr>
        <w:endnoteReference w:id="57"/>
      </w:r>
      <w:r w:rsidRPr="005E585A">
        <w:rPr>
          <w:color w:val="333333"/>
          <w:highlight w:val="white"/>
          <w:lang w:val="en-US"/>
        </w:rPr>
        <w:t xml:space="preserve"> Lack of accessibility and accommodations </w:t>
      </w:r>
      <w:proofErr w:type="spellStart"/>
      <w:r w:rsidRPr="005E585A">
        <w:rPr>
          <w:color w:val="333333"/>
          <w:highlight w:val="white"/>
          <w:lang w:val="en-US"/>
        </w:rPr>
        <w:t>forefronted</w:t>
      </w:r>
      <w:proofErr w:type="spellEnd"/>
      <w:r w:rsidRPr="005E585A">
        <w:rPr>
          <w:color w:val="333333"/>
          <w:highlight w:val="white"/>
          <w:lang w:val="en-US"/>
        </w:rPr>
        <w:t xml:space="preserve"> in safe sport processes lead to disabled sport participants not speaking up, and thus they are forced to endure unsafe environments or leave sport entirely. </w:t>
      </w:r>
    </w:p>
    <w:p w14:paraId="2B0D1E18" w14:textId="77777777" w:rsidR="00E4004B" w:rsidRPr="005E585A" w:rsidRDefault="00E4004B" w:rsidP="00E4004B">
      <w:pPr>
        <w:pStyle w:val="Heading3"/>
        <w:jc w:val="center"/>
        <w:rPr>
          <w:rFonts w:ascii="Times New Roman" w:hAnsi="Times New Roman" w:cs="Times New Roman"/>
          <w:b/>
          <w:bCs/>
          <w:sz w:val="24"/>
          <w:szCs w:val="24"/>
        </w:rPr>
      </w:pPr>
      <w:bookmarkStart w:id="9" w:name="_wtqyk1cb7zu" w:colFirst="0" w:colLast="0"/>
      <w:bookmarkEnd w:id="9"/>
      <w:r w:rsidRPr="005E585A">
        <w:rPr>
          <w:rFonts w:ascii="Times New Roman" w:hAnsi="Times New Roman" w:cs="Times New Roman"/>
          <w:b/>
          <w:bCs/>
        </w:rPr>
        <w:t>Harmful Aspects of Classification</w:t>
      </w:r>
    </w:p>
    <w:p w14:paraId="124F70A6" w14:textId="77777777" w:rsidR="00E4004B" w:rsidRPr="005E585A" w:rsidRDefault="74C56229" w:rsidP="67155DE0">
      <w:pPr>
        <w:rPr>
          <w:color w:val="333333"/>
          <w:highlight w:val="white"/>
          <w:lang w:val="en-US"/>
        </w:rPr>
      </w:pPr>
      <w:r w:rsidRPr="005E585A">
        <w:rPr>
          <w:b/>
          <w:bCs/>
          <w:lang w:val="en-US"/>
        </w:rPr>
        <w:t>Classification Processes:</w:t>
      </w:r>
      <w:r w:rsidRPr="005E585A">
        <w:rPr>
          <w:lang w:val="en-US"/>
        </w:rPr>
        <w:t xml:space="preserve"> </w:t>
      </w:r>
      <w:r w:rsidRPr="005E585A">
        <w:rPr>
          <w:color w:val="333333"/>
          <w:highlight w:val="white"/>
          <w:lang w:val="en-US"/>
        </w:rPr>
        <w:t>In many Parasport programs (and some other disability-specific programs), participants are required to provide personal medical information (often without consistent protections regarding disclosure) and must undergo functional classification processes to determine sport eligibility and to assign functional level of disability. Similar to weight classes in wrestling, classification processes are designed to ensure that athletes compete against others with similar functional impacts of their disabilities, decreasing risks of physical harm and the exclusion of those with more significant impairments within competitive environments. This can also reduce ableist stigma</w:t>
      </w:r>
      <w:r w:rsidR="00E4004B" w:rsidRPr="005E585A">
        <w:rPr>
          <w:color w:val="333333"/>
          <w:highlight w:val="white"/>
          <w:vertAlign w:val="superscript"/>
          <w:lang w:val="en-US"/>
        </w:rPr>
        <w:endnoteReference w:id="58"/>
      </w:r>
      <w:r w:rsidRPr="005E585A">
        <w:rPr>
          <w:color w:val="333333"/>
          <w:highlight w:val="white"/>
          <w:lang w:val="en-US"/>
        </w:rPr>
        <w:t xml:space="preserve"> and bullying within competitions that primarily include participants of similar disabilities. </w:t>
      </w:r>
    </w:p>
    <w:p w14:paraId="3CF2D8B6" w14:textId="77777777" w:rsidR="00E4004B" w:rsidRPr="005E585A" w:rsidRDefault="00E4004B">
      <w:pPr>
        <w:rPr>
          <w:color w:val="333333"/>
          <w:highlight w:val="white"/>
        </w:rPr>
      </w:pPr>
    </w:p>
    <w:p w14:paraId="210A4750" w14:textId="5503997B" w:rsidR="00E4004B" w:rsidRPr="00875B9E" w:rsidRDefault="00E4004B" w:rsidP="67155DE0">
      <w:pPr>
        <w:rPr>
          <w:b/>
          <w:color w:val="333333"/>
          <w:highlight w:val="white"/>
        </w:rPr>
      </w:pPr>
      <w:r w:rsidRPr="005E585A">
        <w:rPr>
          <w:b/>
          <w:color w:val="333333"/>
          <w:highlight w:val="white"/>
        </w:rPr>
        <w:t>Classification increases inclusion and exclusion</w:t>
      </w:r>
      <w:r w:rsidR="00875B9E">
        <w:rPr>
          <w:b/>
          <w:color w:val="333333"/>
          <w:highlight w:val="white"/>
        </w:rPr>
        <w:t>.</w:t>
      </w:r>
      <w:r w:rsidRPr="005E585A">
        <w:rPr>
          <w:b/>
          <w:color w:val="333333"/>
          <w:highlight w:val="white"/>
        </w:rPr>
        <w:t xml:space="preserve"> </w:t>
      </w:r>
      <w:r w:rsidR="74C56229" w:rsidRPr="005E585A">
        <w:rPr>
          <w:color w:val="333333"/>
          <w:highlight w:val="white"/>
          <w:lang w:val="en-US"/>
        </w:rPr>
        <w:t>Classification has yet to include all disabled bodies/minds and is not uniform across all sports. Many disabled individuals do not meet the ‘minimal requirements’ to be classified despite mainstream sport being inaccessible to them, and some bodies are able to be classified in some sports but not others. For example, (some) individuals with dwarfism can be classified in swimming but not in skiing and individuals with pain-related disabilities are not eligible for classification in any sports. Further, there is a worrisome pattern of competitions for classification groups with the most significant impairments being either removed or collapsed into groups with less functional impact, consistently eroding opportunities for those with the most significant impairments.</w:t>
      </w:r>
      <w:r w:rsidRPr="005E585A">
        <w:rPr>
          <w:color w:val="333333"/>
          <w:highlight w:val="white"/>
          <w:vertAlign w:val="superscript"/>
          <w:lang w:val="en-US"/>
        </w:rPr>
        <w:endnoteReference w:id="59"/>
      </w:r>
    </w:p>
    <w:p w14:paraId="0FB78278" w14:textId="77777777" w:rsidR="00E4004B" w:rsidRPr="005E585A" w:rsidRDefault="00E4004B">
      <w:pPr>
        <w:rPr>
          <w:b/>
          <w:color w:val="333333"/>
          <w:highlight w:val="white"/>
        </w:rPr>
      </w:pPr>
    </w:p>
    <w:p w14:paraId="632480C9" w14:textId="7767B802" w:rsidR="00E4004B" w:rsidRPr="00875B9E" w:rsidRDefault="00E4004B">
      <w:pPr>
        <w:rPr>
          <w:b/>
          <w:color w:val="333333"/>
          <w:highlight w:val="white"/>
        </w:rPr>
      </w:pPr>
      <w:r w:rsidRPr="005E585A">
        <w:rPr>
          <w:b/>
          <w:color w:val="333333"/>
          <w:highlight w:val="white"/>
        </w:rPr>
        <w:lastRenderedPageBreak/>
        <w:t>Unchecked power imbalances</w:t>
      </w:r>
      <w:r w:rsidR="00875B9E">
        <w:rPr>
          <w:b/>
          <w:color w:val="333333"/>
          <w:highlight w:val="white"/>
        </w:rPr>
        <w:t xml:space="preserve">. </w:t>
      </w:r>
      <w:r w:rsidRPr="005E585A">
        <w:rPr>
          <w:color w:val="333333"/>
          <w:highlight w:val="white"/>
        </w:rPr>
        <w:t>Classifiers can have immense power over athlete careers, and are often left alone with athletes, potentially with the requirement of athletes to show their body or be touched by classifiers, without consent.</w:t>
      </w:r>
      <w:r w:rsidRPr="005E585A">
        <w:rPr>
          <w:color w:val="333333"/>
          <w:highlight w:val="white"/>
          <w:vertAlign w:val="superscript"/>
        </w:rPr>
        <w:endnoteReference w:id="60"/>
      </w:r>
      <w:r w:rsidRPr="005E585A">
        <w:rPr>
          <w:color w:val="333333"/>
          <w:highlight w:val="white"/>
        </w:rPr>
        <w:t xml:space="preserve"> Athletes have disclosed to researchers, issues of coerced participation in classifiers’ research, inappropriate sexual questions or comments, uncomfortable or inappropriate touch, or having their medical file discussed in public.</w:t>
      </w:r>
      <w:r w:rsidRPr="005E585A">
        <w:rPr>
          <w:color w:val="333333"/>
          <w:highlight w:val="white"/>
          <w:vertAlign w:val="superscript"/>
        </w:rPr>
        <w:endnoteReference w:id="61"/>
      </w:r>
      <w:r w:rsidRPr="005E585A">
        <w:rPr>
          <w:color w:val="333333"/>
          <w:highlight w:val="white"/>
        </w:rPr>
        <w:t xml:space="preserve"> Coaches and administrators also hold a lot of power in these contexts as well and have been known to ‘coach’ athletes to misrepresent their disabilities; attend classification examinations; and disclose and share stories out of context without consent.</w:t>
      </w:r>
      <w:r w:rsidRPr="005E585A">
        <w:rPr>
          <w:color w:val="333333"/>
          <w:highlight w:val="white"/>
          <w:vertAlign w:val="superscript"/>
        </w:rPr>
        <w:endnoteReference w:id="62"/>
      </w:r>
      <w:r w:rsidRPr="005E585A">
        <w:rPr>
          <w:color w:val="333333"/>
          <w:highlight w:val="white"/>
        </w:rPr>
        <w:t xml:space="preserve"> </w:t>
      </w:r>
    </w:p>
    <w:p w14:paraId="1FC39945" w14:textId="77777777" w:rsidR="00E4004B" w:rsidRPr="005E585A" w:rsidRDefault="00E4004B">
      <w:pPr>
        <w:rPr>
          <w:color w:val="333333"/>
          <w:highlight w:val="white"/>
        </w:rPr>
      </w:pPr>
    </w:p>
    <w:p w14:paraId="2D4C271B" w14:textId="44C60693" w:rsidR="000D2261" w:rsidRPr="00875B9E" w:rsidRDefault="00E4004B" w:rsidP="67155DE0">
      <w:pPr>
        <w:rPr>
          <w:b/>
          <w:color w:val="333333"/>
          <w:highlight w:val="white"/>
          <w:u w:val="single"/>
        </w:rPr>
      </w:pPr>
      <w:r w:rsidRPr="005E585A">
        <w:rPr>
          <w:b/>
          <w:color w:val="333333"/>
          <w:highlight w:val="white"/>
        </w:rPr>
        <w:t>Medically invasive and retraumatizing</w:t>
      </w:r>
      <w:r w:rsidR="00875B9E">
        <w:rPr>
          <w:b/>
          <w:color w:val="333333"/>
          <w:highlight w:val="white"/>
        </w:rPr>
        <w:t xml:space="preserve">. </w:t>
      </w:r>
      <w:r w:rsidR="74C56229" w:rsidRPr="005E585A">
        <w:rPr>
          <w:color w:val="333333"/>
          <w:highlight w:val="white"/>
          <w:lang w:val="en-US"/>
        </w:rPr>
        <w:t>Classification is based on the medical model of disability</w:t>
      </w:r>
      <w:r w:rsidR="00C377DF" w:rsidRPr="005E585A">
        <w:rPr>
          <w:color w:val="333333"/>
          <w:highlight w:val="white"/>
          <w:lang w:val="en-US"/>
        </w:rPr>
        <w:t>,</w:t>
      </w:r>
      <w:r w:rsidRPr="005E585A">
        <w:rPr>
          <w:color w:val="333333"/>
          <w:highlight w:val="white"/>
          <w:vertAlign w:val="superscript"/>
          <w:lang w:val="en-US"/>
        </w:rPr>
        <w:endnoteReference w:id="63"/>
      </w:r>
      <w:r w:rsidR="74C56229" w:rsidRPr="005E585A">
        <w:rPr>
          <w:color w:val="333333"/>
          <w:highlight w:val="white"/>
          <w:lang w:val="en-US"/>
        </w:rPr>
        <w:t xml:space="preserve"> and thus involves the objectification and </w:t>
      </w:r>
      <w:proofErr w:type="spellStart"/>
      <w:r w:rsidR="74C56229" w:rsidRPr="005E585A">
        <w:rPr>
          <w:color w:val="333333"/>
          <w:highlight w:val="white"/>
          <w:lang w:val="en-US"/>
        </w:rPr>
        <w:t>pathologization</w:t>
      </w:r>
      <w:proofErr w:type="spellEnd"/>
      <w:r w:rsidR="74C56229" w:rsidRPr="005E585A">
        <w:rPr>
          <w:color w:val="333333"/>
          <w:highlight w:val="white"/>
          <w:lang w:val="en-US"/>
        </w:rPr>
        <w:t xml:space="preserve"> of someone’s body by an ‘expert’ (neither chosen, nor consented to by the person being classified) given authority to declare the truth about another person’s body.</w:t>
      </w:r>
      <w:r w:rsidR="74C56229" w:rsidRPr="005E585A">
        <w:rPr>
          <w:color w:val="333333"/>
          <w:highlight w:val="white"/>
          <w:u w:val="single"/>
          <w:lang w:val="en-US"/>
        </w:rPr>
        <w:t xml:space="preserve"> </w:t>
      </w:r>
      <w:r w:rsidR="74C56229" w:rsidRPr="005E585A">
        <w:rPr>
          <w:color w:val="333333"/>
          <w:highlight w:val="white"/>
          <w:lang w:val="en-US"/>
        </w:rPr>
        <w:t xml:space="preserve"> This process can mirror invasive, traumatic, and even abusive medical processes experienced by many people with disabilities. The bureaucratic and evaluative nature of classification systems can feel invasive, dehumanizing, or even dismissive of lived experiences.</w:t>
      </w:r>
      <w:r w:rsidRPr="005E585A">
        <w:rPr>
          <w:color w:val="333333"/>
          <w:highlight w:val="white"/>
          <w:vertAlign w:val="superscript"/>
          <w:lang w:val="en-US"/>
        </w:rPr>
        <w:endnoteReference w:id="64"/>
      </w:r>
      <w:r w:rsidR="74C56229" w:rsidRPr="005E585A">
        <w:rPr>
          <w:color w:val="333333"/>
          <w:highlight w:val="white"/>
          <w:lang w:val="en-US"/>
        </w:rPr>
        <w:t xml:space="preserve"> </w:t>
      </w:r>
    </w:p>
    <w:p w14:paraId="6F18CB14" w14:textId="77777777" w:rsidR="000D2261" w:rsidRPr="005E585A" w:rsidRDefault="00000000" w:rsidP="00E4004B">
      <w:pPr>
        <w:pStyle w:val="Heading3"/>
        <w:jc w:val="center"/>
        <w:rPr>
          <w:rFonts w:ascii="Times New Roman" w:hAnsi="Times New Roman" w:cs="Times New Roman"/>
          <w:b/>
          <w:bCs/>
          <w:color w:val="333333"/>
          <w:sz w:val="24"/>
          <w:szCs w:val="24"/>
          <w:highlight w:val="white"/>
        </w:rPr>
      </w:pPr>
      <w:bookmarkStart w:id="10" w:name="_nrnqf6fmvoci" w:colFirst="0" w:colLast="0"/>
      <w:bookmarkEnd w:id="10"/>
      <w:r w:rsidRPr="005E585A">
        <w:rPr>
          <w:rFonts w:ascii="Times New Roman" w:hAnsi="Times New Roman" w:cs="Times New Roman"/>
          <w:b/>
          <w:bCs/>
        </w:rPr>
        <w:t>Recommendations</w:t>
      </w:r>
    </w:p>
    <w:p w14:paraId="0E3119DB" w14:textId="77777777" w:rsidR="000D2261" w:rsidRPr="005E585A" w:rsidRDefault="33D725CC" w:rsidP="67155DE0">
      <w:pPr>
        <w:rPr>
          <w:color w:val="333333"/>
          <w:highlight w:val="white"/>
          <w:lang w:val="en-US"/>
        </w:rPr>
      </w:pPr>
      <w:r w:rsidRPr="005E585A">
        <w:rPr>
          <w:b/>
          <w:bCs/>
          <w:color w:val="333333"/>
          <w:highlight w:val="white"/>
          <w:lang w:val="en-US"/>
        </w:rPr>
        <w:t>All of the above-described safe sport issues</w:t>
      </w:r>
      <w:r w:rsidRPr="005E585A">
        <w:rPr>
          <w:color w:val="333333"/>
          <w:highlight w:val="white"/>
          <w:lang w:val="en-US"/>
        </w:rPr>
        <w:t xml:space="preserve"> cause harm or put disabled people in greater harm’s way (including physical, psychological, sexual maltreatment, as well as neglect, grooming, boundary transgression and discrimination). They also prevent disabled athletes, coaches, and participants from performing at their best, or they create such substantial barriers and harms that disabled people leave the sport altogether. We offer the following recommendations for this commission to begin to address the significant, and often neglected, of harm in and through sport for disabled people.</w:t>
      </w:r>
    </w:p>
    <w:p w14:paraId="0562CB0E" w14:textId="77777777" w:rsidR="000D2261" w:rsidRPr="005E585A" w:rsidRDefault="000D2261">
      <w:pPr>
        <w:rPr>
          <w:color w:val="333333"/>
          <w:highlight w:val="white"/>
        </w:rPr>
      </w:pPr>
    </w:p>
    <w:p w14:paraId="46510D6C" w14:textId="77777777" w:rsidR="000D2261" w:rsidRPr="005E585A" w:rsidRDefault="33D725CC" w:rsidP="67155DE0">
      <w:pPr>
        <w:numPr>
          <w:ilvl w:val="0"/>
          <w:numId w:val="2"/>
        </w:numPr>
        <w:rPr>
          <w:color w:val="333333"/>
          <w:highlight w:val="white"/>
          <w:lang w:val="en-US"/>
        </w:rPr>
      </w:pPr>
      <w:r w:rsidRPr="005E585A">
        <w:rPr>
          <w:color w:val="333333"/>
          <w:highlight w:val="white"/>
          <w:lang w:val="en-US"/>
        </w:rPr>
        <w:t>Explicitly report that equity denied groups experience far greater harms in sports, and include disability in that list of equity-denied groups.</w:t>
      </w:r>
    </w:p>
    <w:p w14:paraId="6AEE2BA1" w14:textId="77777777" w:rsidR="009D0C8A" w:rsidRPr="005E585A" w:rsidRDefault="33D725CC" w:rsidP="67155DE0">
      <w:pPr>
        <w:numPr>
          <w:ilvl w:val="0"/>
          <w:numId w:val="2"/>
        </w:numPr>
        <w:rPr>
          <w:color w:val="333333"/>
          <w:highlight w:val="white"/>
          <w:lang w:val="en-US"/>
        </w:rPr>
      </w:pPr>
      <w:r w:rsidRPr="005E585A">
        <w:rPr>
          <w:color w:val="333333"/>
          <w:highlight w:val="white"/>
          <w:lang w:val="en-US"/>
        </w:rPr>
        <w:t xml:space="preserve">Clearly articulate that people with disabilities have the right to engage in both disability-specific and mainstream sports and that disability-related safety issues should be recognized and supported in both of these contexts. </w:t>
      </w:r>
    </w:p>
    <w:p w14:paraId="1DE9D2AB" w14:textId="77777777" w:rsidR="009D0C8A" w:rsidRPr="005E585A" w:rsidRDefault="34BDC1AF" w:rsidP="67155DE0">
      <w:pPr>
        <w:numPr>
          <w:ilvl w:val="0"/>
          <w:numId w:val="2"/>
        </w:numPr>
        <w:rPr>
          <w:color w:val="333333"/>
          <w:highlight w:val="white"/>
          <w:lang w:val="en-US"/>
        </w:rPr>
      </w:pPr>
      <w:r w:rsidRPr="005E585A">
        <w:rPr>
          <w:color w:val="333333"/>
          <w:shd w:val="clear" w:color="auto" w:fill="FFFFFF"/>
          <w:lang w:val="en-US"/>
        </w:rPr>
        <w:t>Recognize that studies on (quality) sport participation, and on safe sport, need to consistently include data on the experiences of disabled people in both disability-specific and mainstream sport systems</w:t>
      </w:r>
      <w:r w:rsidR="3D70305A" w:rsidRPr="005E585A">
        <w:rPr>
          <w:color w:val="333333"/>
          <w:shd w:val="clear" w:color="auto" w:fill="FFFFFF"/>
          <w:lang w:val="en-US"/>
        </w:rPr>
        <w:t>.</w:t>
      </w:r>
      <w:r w:rsidR="008F101C" w:rsidRPr="005E585A">
        <w:rPr>
          <w:rStyle w:val="EndnoteReference"/>
          <w:color w:val="333333"/>
          <w:shd w:val="clear" w:color="auto" w:fill="FFFFFF"/>
          <w:lang w:val="en-US"/>
        </w:rPr>
        <w:endnoteReference w:id="65"/>
      </w:r>
    </w:p>
    <w:p w14:paraId="54171A16" w14:textId="77777777" w:rsidR="000D2261" w:rsidRPr="005E585A" w:rsidRDefault="00000000" w:rsidP="00F80CC6">
      <w:pPr>
        <w:numPr>
          <w:ilvl w:val="0"/>
          <w:numId w:val="2"/>
        </w:numPr>
        <w:rPr>
          <w:color w:val="333333"/>
          <w:highlight w:val="white"/>
        </w:rPr>
      </w:pPr>
      <w:r w:rsidRPr="005E585A">
        <w:rPr>
          <w:color w:val="333333"/>
          <w:highlight w:val="white"/>
        </w:rPr>
        <w:t>Explicitly recognize the rights of disabled people to non-discrimination in relation to all sport leadership roles, as well as their right to reasonable accommodations as athletes, parents, coaches, and staff.</w:t>
      </w:r>
    </w:p>
    <w:p w14:paraId="60E02803" w14:textId="77777777" w:rsidR="000D2261" w:rsidRPr="005E585A" w:rsidRDefault="00000000">
      <w:pPr>
        <w:numPr>
          <w:ilvl w:val="0"/>
          <w:numId w:val="2"/>
        </w:numPr>
        <w:rPr>
          <w:color w:val="333333"/>
          <w:highlight w:val="white"/>
        </w:rPr>
      </w:pPr>
      <w:r w:rsidRPr="005E585A">
        <w:rPr>
          <w:color w:val="333333"/>
          <w:highlight w:val="white"/>
        </w:rPr>
        <w:t>Explicitly recognize ableism as a force of discrimination that contributes to significant threat, harm, maltreatment, and exclusion of disabled people in sporting contexts. Recommend anti-ableist training in disability-specific sport contexts and for those hired to support safe sport processes. Encourage their uptake by all coaches and decision makers in sport contexts.</w:t>
      </w:r>
    </w:p>
    <w:p w14:paraId="6D4AD876" w14:textId="77777777" w:rsidR="000D2261" w:rsidRPr="005E585A" w:rsidRDefault="33D725CC" w:rsidP="67155DE0">
      <w:pPr>
        <w:numPr>
          <w:ilvl w:val="0"/>
          <w:numId w:val="2"/>
        </w:numPr>
        <w:rPr>
          <w:color w:val="333333"/>
          <w:highlight w:val="white"/>
          <w:lang w:val="en-US"/>
        </w:rPr>
      </w:pPr>
      <w:r w:rsidRPr="005E585A">
        <w:rPr>
          <w:color w:val="333333"/>
          <w:highlight w:val="white"/>
          <w:lang w:val="en-US"/>
        </w:rPr>
        <w:t xml:space="preserve">Recognize that the lack of appropriate disability-related training for all leadership and supporting roles significantly increases experiences of harm. Depending on one’s role, such training might include disability rights and accommodations, accessibility skills, </w:t>
      </w:r>
      <w:r w:rsidRPr="005E585A">
        <w:rPr>
          <w:color w:val="333333"/>
          <w:highlight w:val="white"/>
          <w:lang w:val="en-US"/>
        </w:rPr>
        <w:lastRenderedPageBreak/>
        <w:t>ableism, safely supporting transfers and other personal care, disability-specific sport and training techniques, and trauma-informed and neurodivergent-affirming supports.</w:t>
      </w:r>
    </w:p>
    <w:p w14:paraId="753E2B1D" w14:textId="77777777" w:rsidR="000D2261" w:rsidRPr="005E585A" w:rsidRDefault="00000000">
      <w:pPr>
        <w:numPr>
          <w:ilvl w:val="0"/>
          <w:numId w:val="2"/>
        </w:numPr>
        <w:rPr>
          <w:color w:val="333333"/>
          <w:highlight w:val="white"/>
        </w:rPr>
      </w:pPr>
      <w:r w:rsidRPr="005E585A">
        <w:rPr>
          <w:color w:val="333333"/>
          <w:highlight w:val="white"/>
        </w:rPr>
        <w:t xml:space="preserve">Recognize that inaccessibility (of facilities, changerooms, training equipment and transportation) is a significant factor in athlete harm, maltreatment, and exclusion. </w:t>
      </w:r>
    </w:p>
    <w:p w14:paraId="5B7A6118" w14:textId="0C0F289B" w:rsidR="000D2261" w:rsidRPr="005E585A" w:rsidRDefault="33D725CC" w:rsidP="67155DE0">
      <w:pPr>
        <w:numPr>
          <w:ilvl w:val="0"/>
          <w:numId w:val="2"/>
        </w:numPr>
        <w:rPr>
          <w:color w:val="333333"/>
          <w:highlight w:val="white"/>
          <w:lang w:val="en-US"/>
        </w:rPr>
      </w:pPr>
      <w:r w:rsidRPr="005E585A">
        <w:rPr>
          <w:color w:val="333333"/>
          <w:highlight w:val="white"/>
          <w:lang w:val="en-US"/>
        </w:rPr>
        <w:t>Safe sport recommendations, policies and guidelines should acknowledge and include disability-specific sport roles (like sports assistants, personal care assistants, and classifiers), as people who can both participate in, and experience maltreatment in sport. All efforts should be made to maximize athlete choice and autonomy around their selection, and how they interact with an athlete and their body. The right to privacy and dignity must be maintained and balanced against the risk of maltreatment when alone with one other person. Safe sport interventions should also protect people in these roles.</w:t>
      </w:r>
    </w:p>
    <w:p w14:paraId="1C7FD519" w14:textId="45795C40" w:rsidR="000D2261" w:rsidRPr="005E585A" w:rsidRDefault="33D725CC" w:rsidP="67155DE0">
      <w:pPr>
        <w:numPr>
          <w:ilvl w:val="0"/>
          <w:numId w:val="2"/>
        </w:numPr>
        <w:rPr>
          <w:color w:val="333333"/>
          <w:highlight w:val="white"/>
          <w:lang w:val="en-US"/>
        </w:rPr>
      </w:pPr>
      <w:r w:rsidRPr="005E585A">
        <w:rPr>
          <w:color w:val="333333"/>
          <w:highlight w:val="white"/>
          <w:lang w:val="en-US"/>
        </w:rPr>
        <w:t xml:space="preserve">Acknowledge that lack of disability leadership in many disability sport contexts may inadvertently lead to greater experiences of harm. Significant efforts should be made to increase the number and influence of disabled people in decision-making and leadership roles in disability-specific sport and sport more generally. For this to happen, we need to address safe sport and exclusion barriers for disabled people in non-athlete roles, including coaches, staff, board members, officials, classifiers. </w:t>
      </w:r>
    </w:p>
    <w:p w14:paraId="2F8070CF" w14:textId="77777777" w:rsidR="000D2261" w:rsidRPr="005E585A" w:rsidRDefault="33D725CC" w:rsidP="67155DE0">
      <w:pPr>
        <w:numPr>
          <w:ilvl w:val="0"/>
          <w:numId w:val="2"/>
        </w:numPr>
        <w:rPr>
          <w:color w:val="333333"/>
          <w:highlight w:val="white"/>
          <w:lang w:val="en-US"/>
        </w:rPr>
      </w:pPr>
      <w:r w:rsidRPr="005E585A">
        <w:rPr>
          <w:color w:val="333333"/>
          <w:highlight w:val="white"/>
          <w:lang w:val="en-US"/>
        </w:rPr>
        <w:t>Explicitly name reduced levels of autonomy, consent, and choice experienced by many of those participating in disability-specific sport as major risk factors for harm and maltreatment. Initiative should be explored that increase opportunities for disabled athletes to have far more decision-making power around their own safety, sport participation, and sport programs. This includes the explicitly protected capacity to say no to participating in unsafe or inaccessible activities, without being punished or removed from the program for doing so.</w:t>
      </w:r>
    </w:p>
    <w:p w14:paraId="4C3A7B6D" w14:textId="77777777" w:rsidR="000D2261" w:rsidRPr="005E585A" w:rsidRDefault="33D725CC" w:rsidP="67155DE0">
      <w:pPr>
        <w:numPr>
          <w:ilvl w:val="0"/>
          <w:numId w:val="2"/>
        </w:numPr>
        <w:rPr>
          <w:color w:val="333333"/>
          <w:highlight w:val="white"/>
          <w:lang w:val="en-US"/>
        </w:rPr>
      </w:pPr>
      <w:r w:rsidRPr="005E585A">
        <w:rPr>
          <w:color w:val="333333"/>
          <w:highlight w:val="white"/>
          <w:lang w:val="en-US"/>
        </w:rPr>
        <w:t>Ensure that safe sport recommendations and processes do not perpetuate ableist harms. Safe sport reporting processes, for example, should have explicit and transparent processes of seeking accommodations, and should acknowledge that forms of discrimination, like ableism, can not only cause and increase harm in sporting environments, but also in safe sport processes. Those engaged in safe sport cases pertaining to disability should be trained to recognize and mitigate ableism.</w:t>
      </w:r>
    </w:p>
    <w:p w14:paraId="34CE0A41" w14:textId="77777777" w:rsidR="000D2261" w:rsidRDefault="000D2261">
      <w:pPr>
        <w:rPr>
          <w:color w:val="333333"/>
          <w:highlight w:val="white"/>
        </w:rPr>
      </w:pPr>
    </w:p>
    <w:p w14:paraId="55BC863D" w14:textId="77777777" w:rsidR="00D40093" w:rsidRPr="005E585A" w:rsidRDefault="00D40093">
      <w:pPr>
        <w:rPr>
          <w:color w:val="333333"/>
          <w:highlight w:val="white"/>
        </w:rPr>
      </w:pPr>
    </w:p>
    <w:p w14:paraId="7D773EA4" w14:textId="77777777" w:rsidR="00D40093" w:rsidRPr="005E585A" w:rsidRDefault="00D40093" w:rsidP="00D40093">
      <w:pPr>
        <w:rPr>
          <w:rFonts w:eastAsia="Calibri"/>
          <w:lang w:val="en-US"/>
        </w:rPr>
      </w:pPr>
      <w:r w:rsidRPr="005E585A">
        <w:rPr>
          <w:rFonts w:eastAsia="Calibri"/>
          <w:b/>
          <w:bCs/>
          <w:lang w:val="en-US"/>
        </w:rPr>
        <w:t xml:space="preserve">CC BY-NC: </w:t>
      </w:r>
      <w:r w:rsidRPr="005E585A">
        <w:rPr>
          <w:rFonts w:eastAsia="Calibri"/>
          <w:lang w:val="en-US"/>
        </w:rPr>
        <w:t xml:space="preserve">Dixon, S., Peers, D., Walker-Young, E., </w:t>
      </w:r>
      <w:proofErr w:type="spellStart"/>
      <w:r w:rsidRPr="005E585A">
        <w:rPr>
          <w:rFonts w:eastAsia="Calibri"/>
          <w:lang w:val="en-US"/>
        </w:rPr>
        <w:t>Bundon</w:t>
      </w:r>
      <w:proofErr w:type="spellEnd"/>
      <w:r w:rsidRPr="005E585A">
        <w:rPr>
          <w:rFonts w:eastAsia="Calibri"/>
          <w:lang w:val="en-US"/>
        </w:rPr>
        <w:t xml:space="preserve">, A., Chisholm, T. (2025). </w:t>
      </w:r>
      <w:r w:rsidRPr="005E585A">
        <w:rPr>
          <w:rFonts w:eastAsia="Calibri"/>
          <w:i/>
          <w:iCs/>
          <w:lang w:val="en-US"/>
        </w:rPr>
        <w:t>Disability, Safety, and Sport</w:t>
      </w:r>
      <w:r w:rsidRPr="005E585A">
        <w:rPr>
          <w:rFonts w:eastAsia="Calibri"/>
          <w:lang w:val="en-US"/>
        </w:rPr>
        <w:t>. Submitted to the Government of Canada’s “Future of Sport in Canada Commission”, April, 2025.</w:t>
      </w:r>
    </w:p>
    <w:p w14:paraId="5CF11C59" w14:textId="66058975" w:rsidR="000D2261" w:rsidRPr="005E585A" w:rsidRDefault="000D2261">
      <w:pPr>
        <w:rPr>
          <w:color w:val="333333"/>
          <w:highlight w:val="white"/>
        </w:rPr>
      </w:pPr>
    </w:p>
    <w:p w14:paraId="5F3D4C52" w14:textId="77777777" w:rsidR="00FF4121" w:rsidRPr="005E585A" w:rsidRDefault="00FF4121">
      <w:pPr>
        <w:rPr>
          <w:color w:val="333333"/>
          <w:highlight w:val="white"/>
        </w:rPr>
      </w:pPr>
    </w:p>
    <w:p w14:paraId="50CF733E" w14:textId="5A06CBB1" w:rsidR="00D40093" w:rsidRPr="00D40093" w:rsidRDefault="00FF4121" w:rsidP="00D40093">
      <w:pPr>
        <w:jc w:val="center"/>
        <w:rPr>
          <w:b/>
          <w:sz w:val="28"/>
          <w:szCs w:val="28"/>
        </w:rPr>
      </w:pPr>
      <w:r w:rsidRPr="00D40093">
        <w:rPr>
          <w:b/>
          <w:bCs/>
          <w:color w:val="333333"/>
          <w:sz w:val="28"/>
          <w:szCs w:val="28"/>
          <w:highlight w:val="white"/>
        </w:rPr>
        <w:t>Authors</w:t>
      </w:r>
      <w:r w:rsidR="00D40093" w:rsidRPr="00D40093">
        <w:rPr>
          <w:b/>
          <w:bCs/>
          <w:color w:val="333333"/>
          <w:sz w:val="28"/>
          <w:szCs w:val="28"/>
          <w:highlight w:val="white"/>
        </w:rPr>
        <w:t xml:space="preserve"> </w:t>
      </w:r>
      <w:r w:rsidR="00D40093" w:rsidRPr="00D40093">
        <w:rPr>
          <w:b/>
          <w:bCs/>
          <w:color w:val="333333"/>
          <w:sz w:val="28"/>
          <w:szCs w:val="28"/>
        </w:rPr>
        <w:t xml:space="preserve">&amp; </w:t>
      </w:r>
      <w:r w:rsidR="00D40093" w:rsidRPr="00D40093">
        <w:rPr>
          <w:b/>
          <w:sz w:val="28"/>
          <w:szCs w:val="28"/>
        </w:rPr>
        <w:t>Contributors</w:t>
      </w:r>
    </w:p>
    <w:p w14:paraId="62EBF3C5" w14:textId="4184DF99" w:rsidR="000D2261" w:rsidRPr="005E585A" w:rsidRDefault="000D2261" w:rsidP="00D40093">
      <w:pPr>
        <w:jc w:val="center"/>
        <w:rPr>
          <w:b/>
          <w:bCs/>
          <w:color w:val="333333"/>
          <w:highlight w:val="white"/>
        </w:rPr>
      </w:pPr>
    </w:p>
    <w:p w14:paraId="63C2BA35" w14:textId="499A2D28" w:rsidR="00E835E3" w:rsidRPr="005E585A" w:rsidRDefault="00000000">
      <w:r w:rsidRPr="005E585A">
        <w:t xml:space="preserve">Stephanie Dixon, </w:t>
      </w:r>
      <w:r w:rsidR="001E1B20" w:rsidRPr="005E585A">
        <w:t>C.M., Paralympian,</w:t>
      </w:r>
      <w:r w:rsidR="00E835E3" w:rsidRPr="005E585A">
        <w:t xml:space="preserve"> </w:t>
      </w:r>
      <w:r w:rsidR="001E1B20" w:rsidRPr="005E585A">
        <w:t xml:space="preserve">Chef de </w:t>
      </w:r>
      <w:r w:rsidR="00140A2C" w:rsidRPr="005E585A">
        <w:t>M</w:t>
      </w:r>
      <w:r w:rsidR="001E1B20" w:rsidRPr="005E585A">
        <w:t>ission 2020</w:t>
      </w:r>
      <w:r w:rsidR="00140A2C" w:rsidRPr="005E585A">
        <w:t>, Asst. Chef de Mission 2015.</w:t>
      </w:r>
    </w:p>
    <w:p w14:paraId="2946DB82" w14:textId="59D9149D" w:rsidR="000D2261" w:rsidRPr="005E585A" w:rsidRDefault="00E835E3">
      <w:r w:rsidRPr="005E585A">
        <w:t>R</w:t>
      </w:r>
      <w:r w:rsidR="001E1B20" w:rsidRPr="005E585A">
        <w:t xml:space="preserve">esearcher, advocate, collaborator, University of Alberta </w:t>
      </w:r>
    </w:p>
    <w:p w14:paraId="4BF561A6" w14:textId="77777777" w:rsidR="005E585A" w:rsidRPr="005E585A" w:rsidRDefault="005E585A"/>
    <w:p w14:paraId="31ACA8B0" w14:textId="77777777" w:rsidR="005E585A" w:rsidRPr="005E585A" w:rsidRDefault="005E585A" w:rsidP="005E585A">
      <w:pPr>
        <w:rPr>
          <w:color w:val="333333"/>
          <w:highlight w:val="white"/>
        </w:rPr>
      </w:pPr>
      <w:r w:rsidRPr="005E585A">
        <w:rPr>
          <w:color w:val="333333"/>
          <w:highlight w:val="white"/>
        </w:rPr>
        <w:t>Danielle Peers - Paralympian, coach, administrator</w:t>
      </w:r>
    </w:p>
    <w:p w14:paraId="4012F0CC" w14:textId="465861D1" w:rsidR="005E585A" w:rsidRPr="005E585A" w:rsidRDefault="005E585A">
      <w:pPr>
        <w:rPr>
          <w:color w:val="333333"/>
          <w:highlight w:val="white"/>
        </w:rPr>
      </w:pPr>
      <w:r w:rsidRPr="005E585A">
        <w:rPr>
          <w:color w:val="333333"/>
          <w:highlight w:val="white"/>
        </w:rPr>
        <w:t>CRC in Disability &amp; Movement Cultures, Associate Professor, University of Alberta</w:t>
      </w:r>
    </w:p>
    <w:p w14:paraId="5997CC1D" w14:textId="77777777" w:rsidR="000D2261" w:rsidRPr="005E585A" w:rsidRDefault="000D2261"/>
    <w:p w14:paraId="528FC8FF" w14:textId="6841E76D" w:rsidR="00140A2C" w:rsidRPr="005E585A" w:rsidRDefault="00140A2C" w:rsidP="00140A2C">
      <w:pPr>
        <w:rPr>
          <w:color w:val="222222"/>
        </w:rPr>
      </w:pPr>
      <w:r w:rsidRPr="005E585A">
        <w:rPr>
          <w:color w:val="222222"/>
        </w:rPr>
        <w:lastRenderedPageBreak/>
        <w:t>Elisabeth Walker-Young, C.M., LLD, Paralympian, Chef de Mission 2015, Asst. Chef de Mission 2012. Advocate and Co-Founder &amp; Inclusion Lead, Inclusive Experiences</w:t>
      </w:r>
    </w:p>
    <w:p w14:paraId="6B699379" w14:textId="77777777" w:rsidR="000D2261" w:rsidRPr="005E585A" w:rsidRDefault="000D2261"/>
    <w:p w14:paraId="4C51895C" w14:textId="4C584480" w:rsidR="000D2261" w:rsidRPr="005E585A" w:rsidRDefault="33D725CC" w:rsidP="67155DE0">
      <w:pPr>
        <w:rPr>
          <w:lang w:val="en-US"/>
        </w:rPr>
      </w:pPr>
      <w:r w:rsidRPr="005E585A">
        <w:rPr>
          <w:lang w:val="en-US"/>
        </w:rPr>
        <w:t xml:space="preserve">Andrea </w:t>
      </w:r>
      <w:proofErr w:type="spellStart"/>
      <w:r w:rsidRPr="005E585A">
        <w:rPr>
          <w:lang w:val="en-US"/>
        </w:rPr>
        <w:t>Bundon</w:t>
      </w:r>
      <w:proofErr w:type="spellEnd"/>
      <w:r w:rsidRPr="005E585A">
        <w:rPr>
          <w:lang w:val="en-US"/>
        </w:rPr>
        <w:t xml:space="preserve">, </w:t>
      </w:r>
      <w:r w:rsidR="4D34932A" w:rsidRPr="005E585A">
        <w:rPr>
          <w:lang w:val="en-US"/>
        </w:rPr>
        <w:t>Associate Professor in the School of Kinesiology and Principal Investigator at the International Collaboration on Repair Discoveries (ICORD) at the University of British Columbia; guide on Canadian para-</w:t>
      </w:r>
      <w:proofErr w:type="spellStart"/>
      <w:r w:rsidR="4D34932A" w:rsidRPr="005E585A">
        <w:rPr>
          <w:lang w:val="en-US"/>
        </w:rPr>
        <w:t>nordic</w:t>
      </w:r>
      <w:proofErr w:type="spellEnd"/>
      <w:r w:rsidR="4D34932A" w:rsidRPr="005E585A">
        <w:rPr>
          <w:lang w:val="en-US"/>
        </w:rPr>
        <w:t xml:space="preserve"> team 2010, 2014</w:t>
      </w:r>
    </w:p>
    <w:p w14:paraId="1F72F646" w14:textId="77777777" w:rsidR="000D2261" w:rsidRPr="005E585A" w:rsidRDefault="000D2261"/>
    <w:p w14:paraId="6BB9E253" w14:textId="7753C99F" w:rsidR="000D2261" w:rsidRPr="00D40093" w:rsidRDefault="00000000">
      <w:pPr>
        <w:rPr>
          <w:color w:val="222222"/>
        </w:rPr>
      </w:pPr>
      <w:r w:rsidRPr="005E585A">
        <w:t>Tara Chisholm</w:t>
      </w:r>
      <w:r w:rsidR="005C164E" w:rsidRPr="005E585A">
        <w:t>,</w:t>
      </w:r>
      <w:r w:rsidR="001E1B20" w:rsidRPr="005E585A">
        <w:t xml:space="preserve"> </w:t>
      </w:r>
      <w:r w:rsidR="001E1B20" w:rsidRPr="005E585A">
        <w:rPr>
          <w:color w:val="222222"/>
        </w:rPr>
        <w:t>Coach, administrator, professor, non-disabled athlete in integrated disability sport</w:t>
      </w:r>
    </w:p>
    <w:p w14:paraId="23DE523C" w14:textId="77777777" w:rsidR="000D2261" w:rsidRPr="005E585A" w:rsidRDefault="000D2261"/>
    <w:p w14:paraId="52E56223" w14:textId="556D885A" w:rsidR="000D2261" w:rsidRPr="005E585A" w:rsidRDefault="00FF4121">
      <w:r w:rsidRPr="005E585A">
        <w:rPr>
          <w:color w:val="000000"/>
        </w:rPr>
        <w:t>Amy Latimer-Cheung, Professor, School of Kinesiology and Health Studies, Queen’s University; Director, Canadian Disability Participation Project (CDPP) 2.0; Co-Director, Revved Up Exercise Program</w:t>
      </w:r>
    </w:p>
    <w:p w14:paraId="414AF3E5" w14:textId="77777777" w:rsidR="00FF4121" w:rsidRPr="005E585A" w:rsidRDefault="00FF4121"/>
    <w:p w14:paraId="5745DCB6" w14:textId="563E4196" w:rsidR="005E585A" w:rsidRDefault="005E585A">
      <w:pPr>
        <w:rPr>
          <w:b/>
        </w:rPr>
      </w:pPr>
      <w:r w:rsidRPr="005E585A">
        <w:rPr>
          <w:color w:val="000000"/>
          <w:shd w:val="clear" w:color="auto" w:fill="FFFFFF"/>
        </w:rPr>
        <w:t xml:space="preserve">Jennifer </w:t>
      </w:r>
      <w:proofErr w:type="spellStart"/>
      <w:r w:rsidRPr="005E585A">
        <w:rPr>
          <w:color w:val="000000"/>
          <w:shd w:val="clear" w:color="auto" w:fill="FFFFFF"/>
        </w:rPr>
        <w:t>Tomasone</w:t>
      </w:r>
      <w:proofErr w:type="spellEnd"/>
      <w:r w:rsidRPr="005E585A">
        <w:rPr>
          <w:color w:val="000000"/>
          <w:shd w:val="clear" w:color="auto" w:fill="FFFFFF"/>
        </w:rPr>
        <w:t>, Associate Professor, School of Kinesiology and Health Studies, Queen’s University; Co-Director, Canadian Disability Participation Project (CDPP) 2.0; Co-Director, Revved Up Exercise Program</w:t>
      </w:r>
    </w:p>
    <w:p w14:paraId="652A8EAC" w14:textId="77777777" w:rsidR="00400B6C" w:rsidRPr="005E585A" w:rsidRDefault="00400B6C">
      <w:pPr>
        <w:rPr>
          <w:b/>
        </w:rPr>
      </w:pPr>
    </w:p>
    <w:p w14:paraId="14F82E57" w14:textId="77777777" w:rsidR="000D2261" w:rsidRPr="005E585A" w:rsidRDefault="00E4004B">
      <w:pPr>
        <w:rPr>
          <w:rFonts w:eastAsia="Roboto"/>
          <w:b/>
          <w:bCs/>
          <w:color w:val="444746"/>
          <w:sz w:val="21"/>
          <w:szCs w:val="21"/>
        </w:rPr>
      </w:pPr>
      <w:r w:rsidRPr="005E585A">
        <w:rPr>
          <w:rFonts w:eastAsia="Roboto"/>
          <w:b/>
          <w:bCs/>
          <w:color w:val="444746"/>
          <w:sz w:val="21"/>
          <w:szCs w:val="21"/>
        </w:rPr>
        <w:t>NOTES</w:t>
      </w:r>
    </w:p>
    <w:sectPr w:rsidR="000D2261" w:rsidRPr="005E585A">
      <w:footerReference w:type="default" r:id="rId8"/>
      <w:endnotePr>
        <w:numFmt w:val="decimal"/>
      </w:endnotePr>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66844F" w14:textId="77777777" w:rsidR="000C19D3" w:rsidRDefault="000C19D3">
      <w:r>
        <w:separator/>
      </w:r>
    </w:p>
  </w:endnote>
  <w:endnote w:type="continuationSeparator" w:id="0">
    <w:p w14:paraId="6A570B6A" w14:textId="77777777" w:rsidR="000C19D3" w:rsidRDefault="000C19D3">
      <w:r>
        <w:continuationSeparator/>
      </w:r>
    </w:p>
  </w:endnote>
  <w:endnote w:id="1">
    <w:p w14:paraId="50CC054C" w14:textId="77777777" w:rsidR="00E4004B" w:rsidRPr="005E585A" w:rsidRDefault="00E4004B">
      <w:pPr>
        <w:rPr>
          <w:sz w:val="20"/>
          <w:szCs w:val="20"/>
        </w:rPr>
      </w:pPr>
      <w:r w:rsidRPr="005E585A">
        <w:rPr>
          <w:sz w:val="20"/>
          <w:szCs w:val="20"/>
          <w:vertAlign w:val="superscript"/>
        </w:rPr>
        <w:endnoteRef/>
      </w:r>
      <w:r w:rsidRPr="005E585A">
        <w:rPr>
          <w:sz w:val="20"/>
          <w:szCs w:val="20"/>
        </w:rPr>
        <w:t xml:space="preserve"> A note on language: we use both “people with disabilities” and “disabled people” in this document. The first represents a more medical and rights-based approach to respectful terminology, the second a more activist and social change approach. We use language most aligned to the argument and citations.</w:t>
      </w:r>
    </w:p>
  </w:endnote>
  <w:endnote w:id="2">
    <w:p w14:paraId="715E0CE1" w14:textId="77777777" w:rsidR="00E4004B" w:rsidRPr="005E585A" w:rsidRDefault="00E4004B">
      <w:pPr>
        <w:rPr>
          <w:sz w:val="20"/>
          <w:szCs w:val="20"/>
          <w:highlight w:val="white"/>
        </w:rPr>
      </w:pPr>
      <w:r w:rsidRPr="005E585A">
        <w:rPr>
          <w:sz w:val="20"/>
          <w:szCs w:val="20"/>
          <w:vertAlign w:val="superscript"/>
        </w:rPr>
        <w:endnoteRef/>
      </w:r>
      <w:r w:rsidRPr="005E585A">
        <w:rPr>
          <w:sz w:val="20"/>
          <w:szCs w:val="20"/>
        </w:rPr>
        <w:t xml:space="preserve"> Statistics Canada. (2023a). </w:t>
      </w:r>
      <w:r w:rsidRPr="005E585A">
        <w:rPr>
          <w:i/>
          <w:sz w:val="20"/>
          <w:szCs w:val="20"/>
        </w:rPr>
        <w:t xml:space="preserve">New Data on Disability in Canada, 2022. </w:t>
      </w:r>
      <w:hyperlink r:id="rId1">
        <w:r w:rsidRPr="005E585A">
          <w:rPr>
            <w:color w:val="1155CC"/>
            <w:sz w:val="20"/>
            <w:szCs w:val="20"/>
            <w:u w:val="single"/>
          </w:rPr>
          <w:t>https://www150.statcan.gc.ca/n1/pub/11-627-m/11-627-m2023063-eng.htm</w:t>
        </w:r>
      </w:hyperlink>
    </w:p>
  </w:endnote>
  <w:endnote w:id="3">
    <w:p w14:paraId="0623F534" w14:textId="77777777" w:rsidR="00E4004B" w:rsidRPr="005E585A" w:rsidRDefault="00E4004B">
      <w:pPr>
        <w:rPr>
          <w:sz w:val="20"/>
          <w:szCs w:val="20"/>
          <w:highlight w:val="white"/>
        </w:rPr>
      </w:pPr>
      <w:r w:rsidRPr="005E585A">
        <w:rPr>
          <w:sz w:val="20"/>
          <w:szCs w:val="20"/>
          <w:vertAlign w:val="superscript"/>
        </w:rPr>
        <w:endnoteRef/>
      </w:r>
      <w:r w:rsidRPr="005E585A">
        <w:rPr>
          <w:sz w:val="20"/>
          <w:szCs w:val="20"/>
        </w:rPr>
        <w:t xml:space="preserve"> </w:t>
      </w:r>
      <w:r w:rsidRPr="005E585A">
        <w:rPr>
          <w:color w:val="141413"/>
          <w:sz w:val="20"/>
          <w:szCs w:val="20"/>
        </w:rPr>
        <w:t xml:space="preserve">Pianosi, R., Presley, L., Buchanan, J., Lévesque, A., Savard, S-A., &amp; Lam, J. </w:t>
      </w:r>
      <w:r w:rsidRPr="005E585A">
        <w:rPr>
          <w:sz w:val="20"/>
          <w:szCs w:val="20"/>
        </w:rPr>
        <w:t xml:space="preserve">(2023b). </w:t>
      </w:r>
      <w:r w:rsidRPr="005E585A">
        <w:rPr>
          <w:i/>
          <w:sz w:val="20"/>
          <w:szCs w:val="20"/>
        </w:rPr>
        <w:t xml:space="preserve">Canadian Survey on Disability, 2022: Concepts and Methods Guide, p.6. </w:t>
      </w:r>
      <w:r w:rsidRPr="005E585A">
        <w:rPr>
          <w:sz w:val="20"/>
          <w:szCs w:val="20"/>
        </w:rPr>
        <w:t xml:space="preserve">Statistics Canada. </w:t>
      </w:r>
      <w:hyperlink r:id="rId2">
        <w:r w:rsidRPr="005E585A">
          <w:rPr>
            <w:i/>
            <w:color w:val="1155CC"/>
            <w:sz w:val="20"/>
            <w:szCs w:val="20"/>
            <w:highlight w:val="white"/>
            <w:u w:val="single"/>
          </w:rPr>
          <w:t>https://www150.statcan.gc.ca/n1/en/pub/89-654-x/89-654-x2023004-eng.pdf?st=Ggmqi2DT</w:t>
        </w:r>
      </w:hyperlink>
    </w:p>
  </w:endnote>
  <w:endnote w:id="4">
    <w:p w14:paraId="369EEAF3" w14:textId="77777777" w:rsidR="00E4004B" w:rsidRPr="005E585A" w:rsidRDefault="00E4004B">
      <w:pPr>
        <w:rPr>
          <w:sz w:val="20"/>
          <w:szCs w:val="20"/>
        </w:rPr>
      </w:pPr>
      <w:r w:rsidRPr="005E585A">
        <w:rPr>
          <w:sz w:val="20"/>
          <w:szCs w:val="20"/>
          <w:vertAlign w:val="superscript"/>
        </w:rPr>
        <w:endnoteRef/>
      </w:r>
      <w:r w:rsidRPr="005E585A">
        <w:rPr>
          <w:sz w:val="20"/>
          <w:szCs w:val="20"/>
        </w:rPr>
        <w:t xml:space="preserve"> </w:t>
      </w:r>
      <w:hyperlink r:id="rId3">
        <w:r w:rsidRPr="005E585A">
          <w:rPr>
            <w:color w:val="1155CC"/>
            <w:sz w:val="20"/>
            <w:szCs w:val="20"/>
            <w:highlight w:val="white"/>
            <w:u w:val="single"/>
          </w:rPr>
          <w:t>Statistics Canada</w:t>
        </w:r>
      </w:hyperlink>
      <w:r w:rsidRPr="005E585A">
        <w:rPr>
          <w:sz w:val="20"/>
          <w:szCs w:val="20"/>
          <w:highlight w:val="white"/>
        </w:rPr>
        <w:t>. (2023a).</w:t>
      </w:r>
    </w:p>
  </w:endnote>
  <w:endnote w:id="5">
    <w:p w14:paraId="4E45C41E" w14:textId="77777777" w:rsidR="00E4004B" w:rsidRPr="005E585A" w:rsidRDefault="00E4004B">
      <w:pPr>
        <w:rPr>
          <w:sz w:val="20"/>
          <w:szCs w:val="20"/>
        </w:rPr>
      </w:pPr>
      <w:r w:rsidRPr="005E585A">
        <w:rPr>
          <w:sz w:val="20"/>
          <w:szCs w:val="20"/>
          <w:vertAlign w:val="superscript"/>
        </w:rPr>
        <w:endnoteRef/>
      </w:r>
      <w:r w:rsidRPr="005E585A">
        <w:rPr>
          <w:sz w:val="20"/>
          <w:szCs w:val="20"/>
        </w:rPr>
        <w:t xml:space="preserve"> Statistics Canada. (2022a). </w:t>
      </w:r>
      <w:r w:rsidRPr="005E585A">
        <w:rPr>
          <w:i/>
          <w:sz w:val="20"/>
          <w:szCs w:val="20"/>
        </w:rPr>
        <w:t xml:space="preserve">Measuring Disability in Canada. </w:t>
      </w:r>
      <w:hyperlink r:id="rId4">
        <w:r w:rsidRPr="005E585A">
          <w:rPr>
            <w:color w:val="1155CC"/>
            <w:sz w:val="20"/>
            <w:szCs w:val="20"/>
            <w:u w:val="single"/>
          </w:rPr>
          <w:t>https://www150.statcan.gc.ca/n1/pub/11-627-m/11-627-m2022062-eng.htm</w:t>
        </w:r>
      </w:hyperlink>
    </w:p>
  </w:endnote>
  <w:endnote w:id="6">
    <w:p w14:paraId="0776EAF7" w14:textId="77777777" w:rsidR="00E4004B" w:rsidRPr="005E585A" w:rsidRDefault="00E4004B">
      <w:pPr>
        <w:rPr>
          <w:sz w:val="20"/>
          <w:szCs w:val="20"/>
        </w:rPr>
      </w:pPr>
      <w:r w:rsidRPr="005E585A">
        <w:rPr>
          <w:sz w:val="20"/>
          <w:szCs w:val="20"/>
          <w:vertAlign w:val="superscript"/>
        </w:rPr>
        <w:endnoteRef/>
      </w:r>
      <w:r w:rsidRPr="005E585A">
        <w:rPr>
          <w:sz w:val="20"/>
          <w:szCs w:val="20"/>
        </w:rPr>
        <w:t xml:space="preserve"> </w:t>
      </w:r>
      <w:hyperlink r:id="rId5">
        <w:r w:rsidRPr="005E585A">
          <w:rPr>
            <w:color w:val="1155CC"/>
            <w:sz w:val="20"/>
            <w:szCs w:val="20"/>
            <w:u w:val="single"/>
          </w:rPr>
          <w:t>Statistics Canada.</w:t>
        </w:r>
      </w:hyperlink>
      <w:r w:rsidRPr="005E585A">
        <w:rPr>
          <w:sz w:val="20"/>
          <w:szCs w:val="20"/>
        </w:rPr>
        <w:t xml:space="preserve"> (2023a)</w:t>
      </w:r>
    </w:p>
  </w:endnote>
  <w:endnote w:id="7">
    <w:p w14:paraId="3A999286" w14:textId="77777777" w:rsidR="00E4004B" w:rsidRPr="005E585A" w:rsidRDefault="00E4004B">
      <w:pPr>
        <w:rPr>
          <w:sz w:val="20"/>
          <w:szCs w:val="20"/>
        </w:rPr>
      </w:pPr>
      <w:r w:rsidRPr="005E585A">
        <w:rPr>
          <w:sz w:val="20"/>
          <w:szCs w:val="20"/>
          <w:vertAlign w:val="superscript"/>
        </w:rPr>
        <w:endnoteRef/>
      </w:r>
      <w:r w:rsidRPr="005E585A">
        <w:rPr>
          <w:sz w:val="20"/>
          <w:szCs w:val="20"/>
        </w:rPr>
        <w:t xml:space="preserve"> Disability without Poverty. (2024). </w:t>
      </w:r>
      <w:r w:rsidRPr="005E585A">
        <w:rPr>
          <w:i/>
          <w:sz w:val="20"/>
          <w:szCs w:val="20"/>
        </w:rPr>
        <w:t xml:space="preserve">2024 Disability Poverty Report Card. </w:t>
      </w:r>
      <w:hyperlink r:id="rId6">
        <w:r w:rsidRPr="005E585A">
          <w:rPr>
            <w:color w:val="1155CC"/>
            <w:sz w:val="20"/>
            <w:szCs w:val="20"/>
            <w:u w:val="single"/>
          </w:rPr>
          <w:t>https://campaign2000.ca/wp-content/uploads/2024/12/Disability-Poverty-Report-Card-2024-English.pdf</w:t>
        </w:r>
      </w:hyperlink>
      <w:r w:rsidRPr="005E585A">
        <w:rPr>
          <w:sz w:val="20"/>
          <w:szCs w:val="20"/>
        </w:rPr>
        <w:t xml:space="preserve">; </w:t>
      </w:r>
      <w:hyperlink r:id="rId7">
        <w:r w:rsidRPr="005E585A">
          <w:rPr>
            <w:color w:val="1155CC"/>
            <w:sz w:val="20"/>
            <w:szCs w:val="20"/>
            <w:highlight w:val="white"/>
            <w:u w:val="single"/>
          </w:rPr>
          <w:t>Statistics Canada</w:t>
        </w:r>
      </w:hyperlink>
      <w:r w:rsidRPr="005E585A">
        <w:rPr>
          <w:sz w:val="20"/>
          <w:szCs w:val="20"/>
          <w:highlight w:val="white"/>
        </w:rPr>
        <w:t xml:space="preserve"> (2023a).</w:t>
      </w:r>
    </w:p>
  </w:endnote>
  <w:endnote w:id="8">
    <w:p w14:paraId="48A7B225" w14:textId="77777777" w:rsidR="00E4004B" w:rsidRPr="005E585A" w:rsidRDefault="00E4004B">
      <w:pPr>
        <w:rPr>
          <w:sz w:val="20"/>
          <w:szCs w:val="20"/>
          <w:highlight w:val="white"/>
        </w:rPr>
      </w:pPr>
      <w:r w:rsidRPr="005E585A">
        <w:rPr>
          <w:sz w:val="20"/>
          <w:szCs w:val="20"/>
          <w:vertAlign w:val="superscript"/>
        </w:rPr>
        <w:endnoteRef/>
      </w:r>
      <w:r w:rsidRPr="005E585A">
        <w:rPr>
          <w:sz w:val="20"/>
          <w:szCs w:val="20"/>
        </w:rPr>
        <w:t xml:space="preserve"> </w:t>
      </w:r>
      <w:hyperlink r:id="rId8">
        <w:r w:rsidRPr="005E585A">
          <w:rPr>
            <w:color w:val="1155CC"/>
            <w:sz w:val="20"/>
            <w:szCs w:val="20"/>
            <w:highlight w:val="white"/>
            <w:u w:val="single"/>
          </w:rPr>
          <w:t>Statistics Canada</w:t>
        </w:r>
      </w:hyperlink>
      <w:r w:rsidRPr="005E585A">
        <w:rPr>
          <w:sz w:val="20"/>
          <w:szCs w:val="20"/>
          <w:highlight w:val="white"/>
        </w:rPr>
        <w:t xml:space="preserve"> (2023a); Dawn Canada. 2024. </w:t>
      </w:r>
      <w:r w:rsidRPr="005E585A">
        <w:rPr>
          <w:i/>
          <w:sz w:val="20"/>
          <w:szCs w:val="20"/>
          <w:highlight w:val="white"/>
        </w:rPr>
        <w:t xml:space="preserve">Submission to the International Committee on the elimination of discrimination against women by DAWN Canada &amp; Indigenous Disability Canada. </w:t>
      </w:r>
      <w:hyperlink r:id="rId9">
        <w:r w:rsidRPr="005E585A">
          <w:rPr>
            <w:i/>
            <w:color w:val="1155CC"/>
            <w:sz w:val="20"/>
            <w:szCs w:val="20"/>
            <w:highlight w:val="white"/>
            <w:u w:val="single"/>
          </w:rPr>
          <w:t>https://dawncanada.net/wp-content/uploads/2025/02/CEDAW-REPORT.pdf</w:t>
        </w:r>
      </w:hyperlink>
    </w:p>
  </w:endnote>
  <w:endnote w:id="9">
    <w:p w14:paraId="67ECBC4A" w14:textId="77777777" w:rsidR="00E4004B" w:rsidRPr="005E585A" w:rsidRDefault="00E4004B">
      <w:pPr>
        <w:rPr>
          <w:sz w:val="20"/>
          <w:szCs w:val="20"/>
        </w:rPr>
      </w:pPr>
      <w:r w:rsidRPr="005E585A">
        <w:rPr>
          <w:sz w:val="20"/>
          <w:szCs w:val="20"/>
          <w:vertAlign w:val="superscript"/>
        </w:rPr>
        <w:endnoteRef/>
      </w:r>
      <w:r w:rsidRPr="005E585A">
        <w:rPr>
          <w:sz w:val="20"/>
          <w:szCs w:val="20"/>
        </w:rPr>
        <w:t xml:space="preserve"> </w:t>
      </w:r>
      <w:r w:rsidRPr="005E585A">
        <w:rPr>
          <w:sz w:val="20"/>
          <w:szCs w:val="20"/>
          <w:highlight w:val="white"/>
        </w:rPr>
        <w:t xml:space="preserve">Homeless Hub. (2025). Social Determinants of Health. </w:t>
      </w:r>
      <w:hyperlink r:id="rId10">
        <w:r w:rsidRPr="005E585A">
          <w:rPr>
            <w:color w:val="1155CC"/>
            <w:sz w:val="20"/>
            <w:szCs w:val="20"/>
            <w:highlight w:val="white"/>
            <w:u w:val="single"/>
          </w:rPr>
          <w:t>https://homelesshub.ca/resource/social-determinants-health-care/</w:t>
        </w:r>
      </w:hyperlink>
      <w:r w:rsidRPr="005E585A">
        <w:rPr>
          <w:sz w:val="20"/>
          <w:szCs w:val="20"/>
          <w:highlight w:val="white"/>
        </w:rPr>
        <w:t xml:space="preserve">; </w:t>
      </w:r>
      <w:r w:rsidRPr="005E585A">
        <w:rPr>
          <w:color w:val="222222"/>
          <w:sz w:val="20"/>
          <w:szCs w:val="20"/>
          <w:highlight w:val="white"/>
        </w:rPr>
        <w:t xml:space="preserve">McGibbon, E. (2021). </w:t>
      </w:r>
      <w:r w:rsidRPr="005E585A">
        <w:rPr>
          <w:i/>
          <w:color w:val="222222"/>
          <w:sz w:val="20"/>
          <w:szCs w:val="20"/>
        </w:rPr>
        <w:t>Oppression: A social determinant of health</w:t>
      </w:r>
      <w:r w:rsidRPr="005E585A">
        <w:rPr>
          <w:color w:val="222222"/>
          <w:sz w:val="20"/>
          <w:szCs w:val="20"/>
          <w:highlight w:val="white"/>
        </w:rPr>
        <w:t>. Fernwood Publishing.</w:t>
      </w:r>
    </w:p>
  </w:endnote>
  <w:endnote w:id="10">
    <w:p w14:paraId="714D091B" w14:textId="77777777" w:rsidR="00E4004B" w:rsidRPr="005E585A" w:rsidRDefault="00E4004B">
      <w:pPr>
        <w:rPr>
          <w:sz w:val="20"/>
          <w:szCs w:val="20"/>
        </w:rPr>
      </w:pPr>
      <w:r w:rsidRPr="005E585A">
        <w:rPr>
          <w:sz w:val="20"/>
          <w:szCs w:val="20"/>
          <w:vertAlign w:val="superscript"/>
        </w:rPr>
        <w:endnoteRef/>
      </w:r>
      <w:r w:rsidRPr="005E585A">
        <w:rPr>
          <w:sz w:val="20"/>
          <w:szCs w:val="20"/>
        </w:rPr>
        <w:t xml:space="preserve"> </w:t>
      </w:r>
      <w:r w:rsidRPr="005E585A">
        <w:rPr>
          <w:sz w:val="20"/>
          <w:szCs w:val="20"/>
          <w:highlight w:val="white"/>
        </w:rPr>
        <w:t xml:space="preserve">Dawn Canada. </w:t>
      </w:r>
      <w:r w:rsidRPr="005E585A">
        <w:rPr>
          <w:sz w:val="20"/>
          <w:szCs w:val="20"/>
        </w:rPr>
        <w:t xml:space="preserve">(2024); Statistics Canada. (2022b). </w:t>
      </w:r>
      <w:r w:rsidRPr="005E585A">
        <w:rPr>
          <w:i/>
          <w:sz w:val="20"/>
          <w:szCs w:val="20"/>
        </w:rPr>
        <w:t xml:space="preserve">Time use among persons with disabilities in Canada. </w:t>
      </w:r>
      <w:hyperlink r:id="rId11">
        <w:r w:rsidRPr="005E585A">
          <w:rPr>
            <w:color w:val="1155CC"/>
            <w:sz w:val="20"/>
            <w:szCs w:val="20"/>
            <w:u w:val="single"/>
          </w:rPr>
          <w:t>https://www150.statcan.gc.ca/n1/pub/89-654-x/89-654-x2022001-eng.htm</w:t>
        </w:r>
      </w:hyperlink>
      <w:r w:rsidRPr="005E585A">
        <w:rPr>
          <w:color w:val="222222"/>
          <w:sz w:val="20"/>
          <w:szCs w:val="20"/>
          <w:highlight w:val="white"/>
        </w:rPr>
        <w:t xml:space="preserve">; Withers, A. J. (2024). </w:t>
      </w:r>
      <w:r w:rsidRPr="005E585A">
        <w:rPr>
          <w:i/>
          <w:color w:val="222222"/>
          <w:sz w:val="20"/>
          <w:szCs w:val="20"/>
        </w:rPr>
        <w:t>Disability politics and theory</w:t>
      </w:r>
      <w:r w:rsidRPr="005E585A">
        <w:rPr>
          <w:color w:val="222222"/>
          <w:sz w:val="20"/>
          <w:szCs w:val="20"/>
          <w:highlight w:val="white"/>
        </w:rPr>
        <w:t>. Fernwood Publishing</w:t>
      </w:r>
      <w:r w:rsidRPr="005E585A">
        <w:rPr>
          <w:sz w:val="20"/>
          <w:szCs w:val="20"/>
        </w:rPr>
        <w:t>.</w:t>
      </w:r>
    </w:p>
  </w:endnote>
  <w:endnote w:id="11">
    <w:p w14:paraId="66F93731" w14:textId="77777777" w:rsidR="00E4004B" w:rsidRPr="005E585A" w:rsidRDefault="00E4004B">
      <w:pPr>
        <w:rPr>
          <w:sz w:val="20"/>
          <w:szCs w:val="20"/>
        </w:rPr>
      </w:pPr>
      <w:r w:rsidRPr="005E585A">
        <w:rPr>
          <w:sz w:val="20"/>
          <w:szCs w:val="20"/>
          <w:vertAlign w:val="superscript"/>
        </w:rPr>
        <w:endnoteRef/>
      </w:r>
      <w:r w:rsidRPr="005E585A">
        <w:rPr>
          <w:sz w:val="20"/>
          <w:szCs w:val="20"/>
        </w:rPr>
        <w:t xml:space="preserve"> Ableism refers to forms of individual or systemic discrimination, social prejudice, or devaluation of people based on real or perceived deviations from normative bodies, minds, or capacities. Throughout this document, Ableism is intended to include related, yet distinct, forms of systemic discrimination and devaluation like audism, audiocentrism, ocularcentrism, sanism, fatmisia.</w:t>
      </w:r>
    </w:p>
  </w:endnote>
  <w:endnote w:id="12">
    <w:p w14:paraId="4FBACE9C" w14:textId="77777777" w:rsidR="00E4004B" w:rsidRPr="005E585A" w:rsidRDefault="00E4004B">
      <w:pPr>
        <w:rPr>
          <w:sz w:val="20"/>
          <w:szCs w:val="20"/>
        </w:rPr>
      </w:pPr>
      <w:r w:rsidRPr="005E585A">
        <w:rPr>
          <w:sz w:val="20"/>
          <w:szCs w:val="20"/>
          <w:vertAlign w:val="superscript"/>
        </w:rPr>
        <w:endnoteRef/>
      </w:r>
      <w:r w:rsidRPr="005E585A">
        <w:rPr>
          <w:sz w:val="20"/>
          <w:szCs w:val="20"/>
        </w:rPr>
        <w:t xml:space="preserve"> ARCH Disability Law Centre. (2019). </w:t>
      </w:r>
      <w:r w:rsidRPr="005E585A">
        <w:rPr>
          <w:i/>
          <w:sz w:val="20"/>
          <w:szCs w:val="20"/>
        </w:rPr>
        <w:t xml:space="preserve">Focus: Canadian Human Rights Commission releases complaint rules. </w:t>
      </w:r>
      <w:hyperlink r:id="rId12">
        <w:r w:rsidRPr="005E585A">
          <w:rPr>
            <w:color w:val="1155CC"/>
            <w:sz w:val="20"/>
            <w:szCs w:val="20"/>
            <w:u w:val="single"/>
          </w:rPr>
          <w:t>https://archdisabilitylaw.ca/focus-chrc-releases-complaint-rules/</w:t>
        </w:r>
      </w:hyperlink>
      <w:r w:rsidRPr="005E585A">
        <w:rPr>
          <w:sz w:val="20"/>
          <w:szCs w:val="20"/>
        </w:rPr>
        <w:t xml:space="preserve"> </w:t>
      </w:r>
    </w:p>
  </w:endnote>
  <w:endnote w:id="13">
    <w:p w14:paraId="7B62C859" w14:textId="77777777" w:rsidR="00E4004B" w:rsidRPr="005E585A" w:rsidRDefault="00E4004B">
      <w:pPr>
        <w:rPr>
          <w:i/>
          <w:sz w:val="20"/>
          <w:szCs w:val="20"/>
        </w:rPr>
      </w:pPr>
      <w:r w:rsidRPr="005E585A">
        <w:rPr>
          <w:sz w:val="20"/>
          <w:szCs w:val="20"/>
          <w:vertAlign w:val="superscript"/>
        </w:rPr>
        <w:endnoteRef/>
      </w:r>
      <w:r w:rsidRPr="005E585A">
        <w:rPr>
          <w:sz w:val="20"/>
          <w:szCs w:val="20"/>
        </w:rPr>
        <w:t xml:space="preserve"> Dawn Canada. (2022). </w:t>
      </w:r>
      <w:r w:rsidRPr="005E585A">
        <w:rPr>
          <w:i/>
          <w:sz w:val="20"/>
          <w:szCs w:val="20"/>
        </w:rPr>
        <w:t xml:space="preserve">Rooting resilience: Women, girls, and non-binary people with disabilities and the national action plan to end gender-based violence. </w:t>
      </w:r>
      <w:hyperlink r:id="rId13">
        <w:r w:rsidRPr="005E585A">
          <w:rPr>
            <w:i/>
            <w:color w:val="1155CC"/>
            <w:sz w:val="20"/>
            <w:szCs w:val="20"/>
            <w:u w:val="single"/>
          </w:rPr>
          <w:t>https://dawncanada.net/wp-content/uploads/2024/12/DAWN_Canada_Recommendations_for_the_NAP_to_end_GBV.pdf</w:t>
        </w:r>
      </w:hyperlink>
    </w:p>
  </w:endnote>
  <w:endnote w:id="14">
    <w:p w14:paraId="24C1C7D1" w14:textId="77777777" w:rsidR="00E4004B" w:rsidRPr="005E585A" w:rsidRDefault="00E4004B">
      <w:pPr>
        <w:rPr>
          <w:sz w:val="20"/>
          <w:szCs w:val="20"/>
        </w:rPr>
      </w:pPr>
      <w:r w:rsidRPr="005E585A">
        <w:rPr>
          <w:sz w:val="20"/>
          <w:szCs w:val="20"/>
          <w:vertAlign w:val="superscript"/>
        </w:rPr>
        <w:endnoteRef/>
      </w:r>
      <w:r w:rsidRPr="005E585A">
        <w:rPr>
          <w:sz w:val="20"/>
          <w:szCs w:val="20"/>
        </w:rPr>
        <w:t xml:space="preserve"> Statistics Canada. (2022c). </w:t>
      </w:r>
      <w:r w:rsidRPr="005E585A">
        <w:rPr>
          <w:i/>
          <w:color w:val="333333"/>
          <w:sz w:val="20"/>
          <w:szCs w:val="20"/>
        </w:rPr>
        <w:t xml:space="preserve">Experiences of violent victimization among persons with mental health-related disabilities in Canada, 2018. </w:t>
      </w:r>
      <w:hyperlink r:id="rId14">
        <w:r w:rsidRPr="005E585A">
          <w:rPr>
            <w:color w:val="1155CC"/>
            <w:sz w:val="20"/>
            <w:szCs w:val="20"/>
            <w:u w:val="single"/>
          </w:rPr>
          <w:t xml:space="preserve"> </w:t>
        </w:r>
      </w:hyperlink>
      <w:hyperlink r:id="rId15">
        <w:r w:rsidRPr="005E585A">
          <w:rPr>
            <w:color w:val="1155CC"/>
            <w:sz w:val="20"/>
            <w:szCs w:val="20"/>
            <w:u w:val="single"/>
          </w:rPr>
          <w:t>2018 statistics Canada survey</w:t>
        </w:r>
      </w:hyperlink>
    </w:p>
  </w:endnote>
  <w:endnote w:id="15">
    <w:p w14:paraId="458D2345" w14:textId="77777777" w:rsidR="00E4004B" w:rsidRPr="005E585A" w:rsidRDefault="00E4004B">
      <w:pPr>
        <w:rPr>
          <w:sz w:val="20"/>
          <w:szCs w:val="20"/>
        </w:rPr>
      </w:pPr>
      <w:r w:rsidRPr="005E585A">
        <w:rPr>
          <w:sz w:val="20"/>
          <w:szCs w:val="20"/>
          <w:vertAlign w:val="superscript"/>
        </w:rPr>
        <w:endnoteRef/>
      </w:r>
      <w:r w:rsidRPr="005E585A">
        <w:rPr>
          <w:sz w:val="20"/>
          <w:szCs w:val="20"/>
        </w:rPr>
        <w:t xml:space="preserve"> Statistics Canada. (2022b).</w:t>
      </w:r>
      <w:r w:rsidR="00127C81" w:rsidRPr="005E585A">
        <w:rPr>
          <w:sz w:val="20"/>
          <w:szCs w:val="20"/>
        </w:rPr>
        <w:t xml:space="preserve"> Ginis, K. A. M., van der Ploeg, H. P., Foster, C., Lai, B., McBride, C. B., Ng, K., ... &amp; Heath, G. W. (2021). Participation of people living with disabilities in physical activity: a global perspective. The Lancet, 398(10298), 443-455.; Ng, K., Sit, C., Arbour-Nicitopoulos, K., Aubert, S., Stanish, H., Hutzler, Y., ... &amp; Reilly, J. J. (2023). Global Matrix of Para Report Cards on physical activity of children and adolescents with disabilities. Adapted Physical Activity Quarterly, 40(3), 409-430.</w:t>
      </w:r>
      <w:r w:rsidR="00127C81" w:rsidRPr="005E585A">
        <w:rPr>
          <w:color w:val="444746"/>
          <w:spacing w:val="3"/>
          <w:sz w:val="20"/>
          <w:szCs w:val="20"/>
        </w:rPr>
        <w:t xml:space="preserve"> </w:t>
      </w:r>
    </w:p>
  </w:endnote>
  <w:endnote w:id="16">
    <w:p w14:paraId="175AA845" w14:textId="77777777" w:rsidR="00127C81" w:rsidRPr="005E585A" w:rsidRDefault="00127C81">
      <w:pPr>
        <w:pStyle w:val="EndnoteText"/>
        <w:rPr>
          <w:rFonts w:ascii="Times New Roman" w:hAnsi="Times New Roman" w:cs="Times New Roman"/>
          <w:lang w:val="en-CA"/>
        </w:rPr>
      </w:pPr>
      <w:r w:rsidRPr="005E585A">
        <w:rPr>
          <w:rStyle w:val="EndnoteReference"/>
          <w:rFonts w:ascii="Times New Roman" w:hAnsi="Times New Roman" w:cs="Times New Roman"/>
        </w:rPr>
        <w:endnoteRef/>
      </w:r>
      <w:r w:rsidRPr="005E585A">
        <w:rPr>
          <w:rFonts w:ascii="Times New Roman" w:hAnsi="Times New Roman" w:cs="Times New Roman"/>
        </w:rPr>
        <w:t xml:space="preserve"> </w:t>
      </w:r>
      <w:r w:rsidR="007942AB" w:rsidRPr="005E585A">
        <w:rPr>
          <w:rFonts w:ascii="Times New Roman" w:hAnsi="Times New Roman" w:cs="Times New Roman"/>
        </w:rPr>
        <w:t>The 2006 Participation and Activity Limitation Survey was the last time a comprehensive, national level assessment of rates of participation in physical activity among persons with disability was undertaken. Sport participation among persons with disability, let alone the quality and safety of their experiences, has never been systematically assessed in a population-level survey.</w:t>
      </w:r>
    </w:p>
  </w:endnote>
  <w:endnote w:id="17">
    <w:p w14:paraId="1F6B787B" w14:textId="77777777" w:rsidR="00E4004B" w:rsidRPr="005E585A" w:rsidRDefault="00E4004B">
      <w:pPr>
        <w:rPr>
          <w:sz w:val="20"/>
          <w:szCs w:val="20"/>
        </w:rPr>
      </w:pPr>
      <w:r w:rsidRPr="005E585A">
        <w:rPr>
          <w:sz w:val="20"/>
          <w:szCs w:val="20"/>
          <w:vertAlign w:val="superscript"/>
        </w:rPr>
        <w:endnoteRef/>
      </w:r>
      <w:r w:rsidRPr="005E585A">
        <w:rPr>
          <w:sz w:val="20"/>
          <w:szCs w:val="20"/>
        </w:rPr>
        <w:t xml:space="preserve"> The term often given to sport contexts that are purportedly for everybody (e.g., community sport, school sport), but that rarely engage robustly with adaptations that would enable meaningful participation of many people with disabilities. We acknowledge that this commonly used (and legally codified) binary nomenclature misrepresents the wealth of sport programs that are neither disability-specific, nor ‘mainstream’ (e.g., Indigenous sport, Queer sport, some grassroots local sport, some deeply integrative and adaptive sport subcultures)</w:t>
      </w:r>
    </w:p>
  </w:endnote>
  <w:endnote w:id="18">
    <w:p w14:paraId="2CC1ED0E" w14:textId="77777777" w:rsidR="00E4004B" w:rsidRPr="005E585A" w:rsidRDefault="00E4004B">
      <w:pPr>
        <w:rPr>
          <w:sz w:val="20"/>
          <w:szCs w:val="20"/>
        </w:rPr>
      </w:pPr>
      <w:r w:rsidRPr="005E585A">
        <w:rPr>
          <w:sz w:val="20"/>
          <w:szCs w:val="20"/>
          <w:vertAlign w:val="superscript"/>
        </w:rPr>
        <w:endnoteRef/>
      </w:r>
      <w:r w:rsidRPr="005E585A">
        <w:rPr>
          <w:sz w:val="20"/>
          <w:szCs w:val="20"/>
        </w:rPr>
        <w:t xml:space="preserve"> Refers to programs designed or adapted specifically for those experiencing disability (although some such programs allow for some non-disabled participation at non-elite levels). These programs are often organized and internally segregated based on type of disability (e.g., sight vs physical) level of functional impairment effects (e.g, full or partial spinal cord injury), and sometimes by specific diagnoses (e.g., cerebral palsy, amputation). </w:t>
      </w:r>
    </w:p>
  </w:endnote>
  <w:endnote w:id="19">
    <w:p w14:paraId="0642D641" w14:textId="77777777" w:rsidR="00E4004B" w:rsidRPr="005E585A" w:rsidRDefault="00E4004B">
      <w:pPr>
        <w:rPr>
          <w:sz w:val="20"/>
          <w:szCs w:val="20"/>
        </w:rPr>
      </w:pPr>
      <w:r w:rsidRPr="005E585A">
        <w:rPr>
          <w:sz w:val="20"/>
          <w:szCs w:val="20"/>
          <w:vertAlign w:val="superscript"/>
        </w:rPr>
        <w:endnoteRef/>
      </w:r>
      <w:r w:rsidRPr="005E585A">
        <w:rPr>
          <w:sz w:val="20"/>
          <w:szCs w:val="20"/>
        </w:rPr>
        <w:t xml:space="preserve"> Government of Canada (2025). </w:t>
      </w:r>
      <w:r w:rsidRPr="005E585A">
        <w:rPr>
          <w:i/>
          <w:sz w:val="20"/>
          <w:szCs w:val="20"/>
        </w:rPr>
        <w:t>The constitution Acts 1867 to 1992</w:t>
      </w:r>
      <w:r w:rsidRPr="005E585A">
        <w:rPr>
          <w:sz w:val="20"/>
          <w:szCs w:val="20"/>
        </w:rPr>
        <w:t xml:space="preserve">. Justice Laws Website. </w:t>
      </w:r>
      <w:hyperlink r:id="rId16">
        <w:r w:rsidRPr="005E585A">
          <w:rPr>
            <w:color w:val="1155CC"/>
            <w:sz w:val="20"/>
            <w:szCs w:val="20"/>
            <w:u w:val="single"/>
          </w:rPr>
          <w:t>http://laws-lois.justice.gc.ca/eng/const/page-12.html</w:t>
        </w:r>
      </w:hyperlink>
      <w:r w:rsidRPr="005E585A">
        <w:rPr>
          <w:sz w:val="20"/>
          <w:szCs w:val="20"/>
        </w:rPr>
        <w:t xml:space="preserve"> </w:t>
      </w:r>
    </w:p>
  </w:endnote>
  <w:endnote w:id="20">
    <w:p w14:paraId="3C5D16E9" w14:textId="77777777" w:rsidR="00E4004B" w:rsidRPr="005E585A" w:rsidRDefault="00E4004B">
      <w:pPr>
        <w:rPr>
          <w:sz w:val="20"/>
          <w:szCs w:val="20"/>
        </w:rPr>
      </w:pPr>
      <w:r w:rsidRPr="005E585A">
        <w:rPr>
          <w:sz w:val="20"/>
          <w:szCs w:val="20"/>
          <w:vertAlign w:val="superscript"/>
        </w:rPr>
        <w:endnoteRef/>
      </w:r>
      <w:r w:rsidRPr="005E585A">
        <w:rPr>
          <w:color w:val="444746"/>
          <w:sz w:val="20"/>
          <w:szCs w:val="20"/>
        </w:rPr>
        <w:t xml:space="preserve"> </w:t>
      </w:r>
      <w:r w:rsidRPr="005E585A">
        <w:rPr>
          <w:sz w:val="20"/>
          <w:szCs w:val="20"/>
        </w:rPr>
        <w:t xml:space="preserve">United Nations Convention on the Rights of Persons with Disabilities (UNCRPD, 2008). </w:t>
      </w:r>
      <w:r w:rsidRPr="005E585A">
        <w:rPr>
          <w:i/>
          <w:sz w:val="20"/>
          <w:szCs w:val="20"/>
        </w:rPr>
        <w:t>Article 30-participation in cultural life, recreation, leisure and sport</w:t>
      </w:r>
      <w:r w:rsidRPr="005E585A">
        <w:rPr>
          <w:sz w:val="20"/>
          <w:szCs w:val="20"/>
        </w:rPr>
        <w:t xml:space="preserve">. </w:t>
      </w:r>
      <w:hyperlink r:id="rId17">
        <w:r w:rsidRPr="005E585A">
          <w:rPr>
            <w:rFonts w:eastAsia="Roboto"/>
            <w:color w:val="0B57D0"/>
            <w:sz w:val="20"/>
            <w:szCs w:val="20"/>
          </w:rPr>
          <w:t>https://www.un.org/disabilities/documents/convention/convoptprot-e.pdf</w:t>
        </w:r>
      </w:hyperlink>
    </w:p>
  </w:endnote>
  <w:endnote w:id="21">
    <w:p w14:paraId="5A74D0BF" w14:textId="77777777" w:rsidR="00F80CC6" w:rsidRPr="005E585A" w:rsidRDefault="00F80CC6">
      <w:pPr>
        <w:pStyle w:val="EndnoteText"/>
        <w:rPr>
          <w:rFonts w:ascii="Times New Roman" w:hAnsi="Times New Roman" w:cs="Times New Roman"/>
          <w:lang w:val="en-CA"/>
        </w:rPr>
      </w:pPr>
      <w:r w:rsidRPr="005E585A">
        <w:rPr>
          <w:rStyle w:val="EndnoteReference"/>
          <w:rFonts w:ascii="Times New Roman" w:hAnsi="Times New Roman" w:cs="Times New Roman"/>
        </w:rPr>
        <w:endnoteRef/>
      </w:r>
      <w:r w:rsidRPr="005E585A">
        <w:rPr>
          <w:rFonts w:ascii="Times New Roman" w:hAnsi="Times New Roman" w:cs="Times New Roman"/>
        </w:rPr>
        <w:t xml:space="preserve"> </w:t>
      </w:r>
      <w:r w:rsidRPr="005E585A">
        <w:rPr>
          <w:rFonts w:ascii="Times New Roman" w:hAnsi="Times New Roman" w:cs="Times New Roman"/>
          <w:color w:val="000000" w:themeColor="text1"/>
          <w:spacing w:val="3"/>
        </w:rPr>
        <w:t xml:space="preserve">Quality participation is built from experiences of: autonomy, belongingness, challenge, engagement, mastery and meaning. Ginis, K. A. M., Gee, C. M., Sinden, A. R., Tomasone, J. R., &amp; Latimer-Cheung, A. E. (2024). Relationships between sport and exercise participation and subjective well-being among adults with physical disabilities: Is participation quality more important than participation quantity?. </w:t>
      </w:r>
      <w:r w:rsidRPr="005E585A">
        <w:rPr>
          <w:rFonts w:ascii="Times New Roman" w:hAnsi="Times New Roman" w:cs="Times New Roman"/>
          <w:i/>
          <w:iCs/>
          <w:color w:val="000000" w:themeColor="text1"/>
          <w:spacing w:val="3"/>
        </w:rPr>
        <w:t>Psychology of Sport and Exercise</w:t>
      </w:r>
      <w:r w:rsidRPr="005E585A">
        <w:rPr>
          <w:rFonts w:ascii="Times New Roman" w:hAnsi="Times New Roman" w:cs="Times New Roman"/>
          <w:color w:val="000000" w:themeColor="text1"/>
          <w:spacing w:val="3"/>
        </w:rPr>
        <w:t>, 70, 102535.</w:t>
      </w:r>
      <w:r w:rsidRPr="005E585A">
        <w:rPr>
          <w:rStyle w:val="apple-converted-space"/>
          <w:rFonts w:ascii="Times New Roman" w:hAnsi="Times New Roman" w:cs="Times New Roman"/>
          <w:color w:val="000000" w:themeColor="text1"/>
          <w:spacing w:val="3"/>
        </w:rPr>
        <w:t> </w:t>
      </w:r>
    </w:p>
  </w:endnote>
  <w:endnote w:id="22">
    <w:p w14:paraId="66B36D13" w14:textId="77777777" w:rsidR="00E4004B" w:rsidRPr="005E585A" w:rsidRDefault="00E4004B">
      <w:pPr>
        <w:rPr>
          <w:i/>
          <w:sz w:val="20"/>
          <w:szCs w:val="20"/>
        </w:rPr>
      </w:pPr>
      <w:r w:rsidRPr="005E585A">
        <w:rPr>
          <w:sz w:val="20"/>
          <w:szCs w:val="20"/>
          <w:vertAlign w:val="superscript"/>
        </w:rPr>
        <w:endnoteRef/>
      </w:r>
      <w:r w:rsidRPr="005E585A">
        <w:rPr>
          <w:sz w:val="20"/>
          <w:szCs w:val="20"/>
        </w:rPr>
        <w:t xml:space="preserve"> United Nations Convention on the Rights of Persons with Disabilities (UNCRPD, 2008). </w:t>
      </w:r>
      <w:r w:rsidRPr="005E585A">
        <w:rPr>
          <w:i/>
          <w:sz w:val="20"/>
          <w:szCs w:val="20"/>
        </w:rPr>
        <w:t>Article 30-participation in cultural life, recreation, leisure and sport,</w:t>
      </w:r>
      <w:r w:rsidRPr="005E585A">
        <w:rPr>
          <w:sz w:val="20"/>
          <w:szCs w:val="20"/>
        </w:rPr>
        <w:t xml:space="preserve"> </w:t>
      </w:r>
      <w:r w:rsidRPr="005E585A">
        <w:rPr>
          <w:i/>
          <w:sz w:val="20"/>
          <w:szCs w:val="20"/>
        </w:rPr>
        <w:t>Ibid. sections clause 5, sections a &amp; b</w:t>
      </w:r>
    </w:p>
    <w:p w14:paraId="2A9A6F1B" w14:textId="77777777" w:rsidR="00E4004B" w:rsidRPr="005E585A" w:rsidRDefault="00000000">
      <w:pPr>
        <w:rPr>
          <w:sz w:val="20"/>
          <w:szCs w:val="20"/>
        </w:rPr>
      </w:pPr>
      <w:hyperlink r:id="rId18">
        <w:r w:rsidR="00E4004B" w:rsidRPr="005E585A">
          <w:rPr>
            <w:rFonts w:eastAsia="Roboto"/>
            <w:color w:val="0B57D0"/>
            <w:sz w:val="20"/>
            <w:szCs w:val="20"/>
          </w:rPr>
          <w:t>https://www.un.org/disabilities/documents/convention/convoptprot-e.pdf</w:t>
        </w:r>
      </w:hyperlink>
    </w:p>
  </w:endnote>
  <w:endnote w:id="23">
    <w:p w14:paraId="6055815A" w14:textId="77777777" w:rsidR="00161AF5" w:rsidRPr="005E585A" w:rsidRDefault="00161AF5">
      <w:pPr>
        <w:pStyle w:val="EndnoteText"/>
        <w:rPr>
          <w:rFonts w:ascii="Times New Roman" w:hAnsi="Times New Roman" w:cs="Times New Roman"/>
          <w:color w:val="000000" w:themeColor="text1"/>
          <w:lang w:val="en-CA"/>
        </w:rPr>
      </w:pPr>
      <w:r w:rsidRPr="005E585A">
        <w:rPr>
          <w:rStyle w:val="EndnoteReference"/>
          <w:rFonts w:ascii="Times New Roman" w:hAnsi="Times New Roman" w:cs="Times New Roman"/>
        </w:rPr>
        <w:endnoteRef/>
      </w:r>
      <w:r w:rsidRPr="005E585A">
        <w:rPr>
          <w:rFonts w:ascii="Times New Roman" w:hAnsi="Times New Roman" w:cs="Times New Roman"/>
        </w:rPr>
        <w:t xml:space="preserve"> </w:t>
      </w:r>
      <w:r w:rsidRPr="005E585A">
        <w:rPr>
          <w:rFonts w:ascii="Times New Roman" w:hAnsi="Times New Roman" w:cs="Times New Roman"/>
          <w:color w:val="000000" w:themeColor="text1"/>
          <w:spacing w:val="3"/>
        </w:rPr>
        <w:t>Canadian Centre for Ethics in Sport. N.d. Canadian Safe Sport Program.</w:t>
      </w:r>
      <w:r w:rsidRPr="005E585A">
        <w:rPr>
          <w:rStyle w:val="apple-converted-space"/>
          <w:rFonts w:ascii="Times New Roman" w:hAnsi="Times New Roman" w:cs="Times New Roman"/>
          <w:color w:val="000000" w:themeColor="text1"/>
          <w:spacing w:val="3"/>
        </w:rPr>
        <w:t> </w:t>
      </w:r>
      <w:hyperlink r:id="rId19" w:tgtFrame="_blank" w:history="1">
        <w:r w:rsidRPr="005E585A">
          <w:rPr>
            <w:rStyle w:val="Hyperlink"/>
            <w:rFonts w:ascii="Times New Roman" w:hAnsi="Times New Roman" w:cs="Times New Roman"/>
            <w:color w:val="000000" w:themeColor="text1"/>
            <w:spacing w:val="3"/>
          </w:rPr>
          <w:t>https://cces.ca/canadian-safe-sport-program</w:t>
        </w:r>
      </w:hyperlink>
      <w:r w:rsidRPr="005E585A">
        <w:rPr>
          <w:rFonts w:ascii="Times New Roman" w:hAnsi="Times New Roman" w:cs="Times New Roman"/>
          <w:color w:val="000000" w:themeColor="text1"/>
          <w:spacing w:val="3"/>
        </w:rPr>
        <w:t>.</w:t>
      </w:r>
    </w:p>
  </w:endnote>
  <w:endnote w:id="24">
    <w:p w14:paraId="5B81B6F5" w14:textId="77777777" w:rsidR="00E4004B" w:rsidRPr="005E585A" w:rsidRDefault="00E4004B">
      <w:pPr>
        <w:rPr>
          <w:sz w:val="20"/>
          <w:szCs w:val="20"/>
        </w:rPr>
      </w:pPr>
      <w:r w:rsidRPr="005E585A">
        <w:rPr>
          <w:sz w:val="20"/>
          <w:szCs w:val="20"/>
          <w:vertAlign w:val="superscript"/>
        </w:rPr>
        <w:endnoteRef/>
      </w:r>
      <w:r w:rsidRPr="005E585A">
        <w:rPr>
          <w:sz w:val="20"/>
          <w:szCs w:val="20"/>
        </w:rPr>
        <w:t xml:space="preserve"> </w:t>
      </w:r>
      <w:r w:rsidRPr="005E585A">
        <w:rPr>
          <w:b/>
          <w:sz w:val="20"/>
          <w:szCs w:val="20"/>
        </w:rPr>
        <w:t xml:space="preserve"> </w:t>
      </w:r>
      <w:r w:rsidRPr="005E585A">
        <w:rPr>
          <w:sz w:val="20"/>
          <w:szCs w:val="20"/>
        </w:rPr>
        <w:t>Parasport are disability-focused sport programs</w:t>
      </w:r>
      <w:r w:rsidRPr="005E585A">
        <w:rPr>
          <w:b/>
          <w:sz w:val="20"/>
          <w:szCs w:val="20"/>
        </w:rPr>
        <w:t xml:space="preserve">; </w:t>
      </w:r>
      <w:r w:rsidRPr="005E585A">
        <w:rPr>
          <w:sz w:val="20"/>
          <w:szCs w:val="20"/>
        </w:rPr>
        <w:t>also referred to as Adapted Sport, Adaptive Sport, Inclusive Sport depending on the program</w:t>
      </w:r>
    </w:p>
  </w:endnote>
  <w:endnote w:id="25">
    <w:p w14:paraId="22ED0FB3" w14:textId="77777777" w:rsidR="00E4004B" w:rsidRPr="005E585A" w:rsidRDefault="00E4004B">
      <w:pPr>
        <w:rPr>
          <w:sz w:val="20"/>
          <w:szCs w:val="20"/>
        </w:rPr>
      </w:pPr>
      <w:r w:rsidRPr="005E585A">
        <w:rPr>
          <w:sz w:val="20"/>
          <w:szCs w:val="20"/>
          <w:vertAlign w:val="superscript"/>
        </w:rPr>
        <w:endnoteRef/>
      </w:r>
      <w:r w:rsidRPr="005E585A">
        <w:rPr>
          <w:sz w:val="20"/>
          <w:szCs w:val="20"/>
        </w:rPr>
        <w:t xml:space="preserve"> While many athletes may identify as deaf or hard of hearing, some individuals identify as "capital D Deaf" to represent an identification with cultural rather than disability-based models of Deafness. This cultural model has had a significant impact on the Deaflympics.</w:t>
      </w:r>
    </w:p>
  </w:endnote>
  <w:endnote w:id="26">
    <w:p w14:paraId="712625B3" w14:textId="77777777" w:rsidR="00E4004B" w:rsidRPr="005E585A" w:rsidRDefault="00E4004B">
      <w:pPr>
        <w:rPr>
          <w:sz w:val="20"/>
          <w:szCs w:val="20"/>
        </w:rPr>
      </w:pPr>
      <w:r w:rsidRPr="005E585A">
        <w:rPr>
          <w:sz w:val="20"/>
          <w:szCs w:val="20"/>
          <w:vertAlign w:val="superscript"/>
        </w:rPr>
        <w:endnoteRef/>
      </w:r>
      <w:r w:rsidRPr="005E585A">
        <w:rPr>
          <w:sz w:val="20"/>
          <w:szCs w:val="20"/>
        </w:rPr>
        <w:t xml:space="preserve"> Canadian Deaf Sports Association. 2025. </w:t>
      </w:r>
      <w:hyperlink r:id="rId20">
        <w:r w:rsidRPr="005E585A">
          <w:rPr>
            <w:color w:val="1155CC"/>
            <w:sz w:val="20"/>
            <w:szCs w:val="20"/>
            <w:u w:val="single"/>
          </w:rPr>
          <w:t>https://assc-cdsa.com/en/sports/sports-committee/</w:t>
        </w:r>
      </w:hyperlink>
      <w:r w:rsidRPr="005E585A">
        <w:rPr>
          <w:sz w:val="20"/>
          <w:szCs w:val="20"/>
        </w:rPr>
        <w:t xml:space="preserve"> </w:t>
      </w:r>
    </w:p>
  </w:endnote>
  <w:endnote w:id="27">
    <w:p w14:paraId="2C9E2C36" w14:textId="77777777" w:rsidR="00E4004B" w:rsidRPr="005E585A" w:rsidRDefault="00E4004B">
      <w:pPr>
        <w:rPr>
          <w:sz w:val="20"/>
          <w:szCs w:val="20"/>
        </w:rPr>
      </w:pPr>
      <w:r w:rsidRPr="005E585A">
        <w:rPr>
          <w:sz w:val="20"/>
          <w:szCs w:val="20"/>
          <w:vertAlign w:val="superscript"/>
        </w:rPr>
        <w:endnoteRef/>
      </w:r>
      <w:r w:rsidRPr="005E585A">
        <w:rPr>
          <w:sz w:val="20"/>
          <w:szCs w:val="20"/>
        </w:rPr>
        <w:t xml:space="preserve"> UN Department of Economic and Social Affairs Disability. (N.d). UNCRPD Ibid. sections clause 5, sections a &amp; b</w:t>
      </w:r>
    </w:p>
  </w:endnote>
  <w:endnote w:id="28">
    <w:p w14:paraId="19B47E33" w14:textId="77777777" w:rsidR="00E4004B" w:rsidRPr="005E585A" w:rsidRDefault="00E4004B">
      <w:pPr>
        <w:rPr>
          <w:sz w:val="20"/>
          <w:szCs w:val="20"/>
        </w:rPr>
      </w:pPr>
      <w:r w:rsidRPr="005E585A">
        <w:rPr>
          <w:sz w:val="20"/>
          <w:szCs w:val="20"/>
          <w:vertAlign w:val="superscript"/>
        </w:rPr>
        <w:endnoteRef/>
      </w:r>
      <w:r w:rsidRPr="005E585A">
        <w:rPr>
          <w:sz w:val="20"/>
          <w:szCs w:val="20"/>
        </w:rPr>
        <w:t xml:space="preserve"> Goodwin, D. &amp; Peers, D. (2011). Disability, sport and inclusion. In S. Dagkas &amp; K. Armour (Eds.), </w:t>
      </w:r>
      <w:r w:rsidRPr="005E585A">
        <w:rPr>
          <w:i/>
          <w:sz w:val="20"/>
          <w:szCs w:val="20"/>
        </w:rPr>
        <w:t>Inclusion and exclusion through youth sport</w:t>
      </w:r>
      <w:r w:rsidRPr="005E585A">
        <w:rPr>
          <w:sz w:val="20"/>
          <w:szCs w:val="20"/>
        </w:rPr>
        <w:t xml:space="preserve"> (pp. 186-202). London: Routledge.</w:t>
      </w:r>
    </w:p>
  </w:endnote>
  <w:endnote w:id="29">
    <w:p w14:paraId="79A7A764" w14:textId="7EE782BA" w:rsidR="00411926" w:rsidRPr="00411926" w:rsidRDefault="00411926">
      <w:pPr>
        <w:pStyle w:val="EndnoteText"/>
        <w:rPr>
          <w:lang w:val="en-CA"/>
        </w:rPr>
      </w:pPr>
      <w:r>
        <w:rPr>
          <w:rStyle w:val="EndnoteReference"/>
        </w:rPr>
        <w:endnoteRef/>
      </w:r>
      <w:r w:rsidRPr="00411926">
        <w:rPr>
          <w:rFonts w:ascii="Times New Roman" w:hAnsi="Times New Roman" w:cs="Times New Roman"/>
        </w:rPr>
        <w:t xml:space="preserve"> </w:t>
      </w:r>
      <w:proofErr w:type="spellStart"/>
      <w:r w:rsidRPr="00411926">
        <w:rPr>
          <w:rFonts w:ascii="Times New Roman" w:hAnsi="Times New Roman" w:cs="Times New Roman"/>
          <w:color w:val="444746"/>
          <w:spacing w:val="3"/>
        </w:rPr>
        <w:t>Powis</w:t>
      </w:r>
      <w:proofErr w:type="spellEnd"/>
      <w:r w:rsidRPr="00411926">
        <w:rPr>
          <w:rFonts w:ascii="Times New Roman" w:hAnsi="Times New Roman" w:cs="Times New Roman"/>
          <w:color w:val="444746"/>
          <w:spacing w:val="3"/>
        </w:rPr>
        <w:t>, B., Brighton, J., &amp; Townsend, R. C. (2025). The Dis/appearing Sporting Body: The Complex Embodiment of Disabled Athletes. Sociology, 0(0).</w:t>
      </w:r>
      <w:r w:rsidRPr="00411926">
        <w:rPr>
          <w:rStyle w:val="apple-converted-space"/>
          <w:rFonts w:ascii="Times New Roman" w:hAnsi="Times New Roman" w:cs="Times New Roman"/>
          <w:color w:val="444746"/>
          <w:spacing w:val="3"/>
        </w:rPr>
        <w:t> </w:t>
      </w:r>
      <w:hyperlink r:id="rId21" w:tgtFrame="_blank" w:history="1">
        <w:r w:rsidRPr="00411926">
          <w:rPr>
            <w:rStyle w:val="Hyperlink"/>
            <w:rFonts w:ascii="Times New Roman" w:hAnsi="Times New Roman" w:cs="Times New Roman"/>
            <w:color w:val="0B57D0"/>
            <w:spacing w:val="3"/>
          </w:rPr>
          <w:t>https://doi.org/10.1177/00380385251325452</w:t>
        </w:r>
      </w:hyperlink>
    </w:p>
  </w:endnote>
  <w:endnote w:id="30">
    <w:p w14:paraId="0668C2B1" w14:textId="77777777" w:rsidR="00E4004B" w:rsidRPr="005E585A" w:rsidRDefault="00E4004B">
      <w:pPr>
        <w:rPr>
          <w:color w:val="000000" w:themeColor="text1"/>
          <w:sz w:val="20"/>
          <w:szCs w:val="20"/>
        </w:rPr>
      </w:pPr>
      <w:r w:rsidRPr="005E585A">
        <w:rPr>
          <w:sz w:val="20"/>
          <w:szCs w:val="20"/>
          <w:vertAlign w:val="superscript"/>
        </w:rPr>
        <w:endnoteRef/>
      </w:r>
      <w:r w:rsidRPr="005E585A">
        <w:rPr>
          <w:sz w:val="20"/>
          <w:szCs w:val="20"/>
        </w:rPr>
        <w:t xml:space="preserve"> Goodwin, D. &amp; Peers, D. (2011)</w:t>
      </w:r>
      <w:r w:rsidR="00161AF5" w:rsidRPr="005E585A">
        <w:rPr>
          <w:sz w:val="20"/>
          <w:szCs w:val="20"/>
        </w:rPr>
        <w:t xml:space="preserve">; </w:t>
      </w:r>
      <w:r w:rsidR="00161AF5" w:rsidRPr="005E585A">
        <w:rPr>
          <w:color w:val="000000" w:themeColor="text1"/>
          <w:spacing w:val="3"/>
          <w:sz w:val="20"/>
          <w:szCs w:val="20"/>
        </w:rPr>
        <w:t>Ginis, K. A. M., Gee, C. M., Sinden, A. R., Tomasone, J. R., &amp; Latimer-Cheung, A. E. (2024). Relationships between sport and exercise participation and subjective well-being among adults with physical disabilities: Is participation quality more important than participation quantity?. Psychology of Sport and Exercise, 70, 102535.</w:t>
      </w:r>
    </w:p>
  </w:endnote>
  <w:endnote w:id="31">
    <w:p w14:paraId="7198CEE6" w14:textId="77777777" w:rsidR="00E4004B" w:rsidRPr="005E585A" w:rsidRDefault="00E4004B">
      <w:pPr>
        <w:rPr>
          <w:sz w:val="20"/>
          <w:szCs w:val="20"/>
        </w:rPr>
      </w:pPr>
      <w:r w:rsidRPr="005E585A">
        <w:rPr>
          <w:sz w:val="20"/>
          <w:szCs w:val="20"/>
          <w:vertAlign w:val="superscript"/>
        </w:rPr>
        <w:endnoteRef/>
      </w:r>
      <w:r w:rsidRPr="005E585A">
        <w:rPr>
          <w:sz w:val="20"/>
          <w:szCs w:val="20"/>
        </w:rPr>
        <w:t xml:space="preserve"> Peers, D., &amp; Dixon, S. (in press). Disability and ableism in sport and physical culture (27 pages). In Scherer, J., &amp; Wilson, B. (eds.), </w:t>
      </w:r>
      <w:r w:rsidRPr="005E585A">
        <w:rPr>
          <w:i/>
          <w:sz w:val="20"/>
          <w:szCs w:val="20"/>
        </w:rPr>
        <w:t xml:space="preserve">Sport and physical culture in Canadian society </w:t>
      </w:r>
      <w:r w:rsidRPr="005E585A">
        <w:rPr>
          <w:sz w:val="20"/>
          <w:szCs w:val="20"/>
        </w:rPr>
        <w:t>(3rd edition). North York, ON: Pearson Canada</w:t>
      </w:r>
      <w:r w:rsidRPr="005E585A">
        <w:rPr>
          <w:rFonts w:eastAsia="Roboto"/>
          <w:color w:val="444746"/>
          <w:sz w:val="20"/>
          <w:szCs w:val="20"/>
        </w:rPr>
        <w:t>.</w:t>
      </w:r>
    </w:p>
  </w:endnote>
  <w:endnote w:id="32">
    <w:p w14:paraId="55D46F07" w14:textId="77777777" w:rsidR="00E4004B" w:rsidRPr="005E585A" w:rsidRDefault="00E4004B">
      <w:pPr>
        <w:rPr>
          <w:sz w:val="20"/>
          <w:szCs w:val="20"/>
        </w:rPr>
      </w:pPr>
      <w:r w:rsidRPr="005E585A">
        <w:rPr>
          <w:sz w:val="20"/>
          <w:szCs w:val="20"/>
          <w:vertAlign w:val="superscript"/>
        </w:rPr>
        <w:endnoteRef/>
      </w:r>
      <w:r w:rsidRPr="005E585A">
        <w:rPr>
          <w:sz w:val="20"/>
          <w:szCs w:val="20"/>
        </w:rPr>
        <w:t xml:space="preserve"> Eales, L. (2022). Adaptive physical activity practices that can perpetuate or perpetrate trauma and mental distress: More harm than good?. In </w:t>
      </w:r>
      <w:r w:rsidRPr="005E585A">
        <w:rPr>
          <w:i/>
          <w:sz w:val="20"/>
          <w:szCs w:val="20"/>
        </w:rPr>
        <w:t>Reflexivity and Change in Adaptive Physical Activity</w:t>
      </w:r>
      <w:r w:rsidRPr="005E585A">
        <w:rPr>
          <w:sz w:val="20"/>
          <w:szCs w:val="20"/>
        </w:rPr>
        <w:t xml:space="preserve"> (pp. 61-73). Routledge.</w:t>
      </w:r>
    </w:p>
    <w:p w14:paraId="0C6F896D" w14:textId="77777777" w:rsidR="00E4004B" w:rsidRPr="005E585A" w:rsidRDefault="00000000">
      <w:pPr>
        <w:rPr>
          <w:sz w:val="20"/>
          <w:szCs w:val="20"/>
        </w:rPr>
      </w:pPr>
      <w:hyperlink r:id="rId22">
        <w:r w:rsidR="00E4004B" w:rsidRPr="005E585A">
          <w:rPr>
            <w:color w:val="1155CC"/>
            <w:sz w:val="20"/>
            <w:szCs w:val="20"/>
            <w:u w:val="single"/>
          </w:rPr>
          <w:t>https://www.taylorfrancis.com/chapters/edit/10.4324/9781003196747-8/adaptive-physical-activity-practices-perpetuate-perpetrate-trauma-mental-distress-lindsay-eales</w:t>
        </w:r>
      </w:hyperlink>
    </w:p>
  </w:endnote>
  <w:endnote w:id="33">
    <w:p w14:paraId="2FCFA3EB" w14:textId="77777777" w:rsidR="00E4004B" w:rsidRPr="005E585A" w:rsidRDefault="00E4004B">
      <w:pPr>
        <w:rPr>
          <w:sz w:val="20"/>
          <w:szCs w:val="20"/>
        </w:rPr>
      </w:pPr>
      <w:r w:rsidRPr="005E585A">
        <w:rPr>
          <w:sz w:val="20"/>
          <w:szCs w:val="20"/>
          <w:vertAlign w:val="superscript"/>
        </w:rPr>
        <w:endnoteRef/>
      </w:r>
      <w:r w:rsidRPr="005E585A">
        <w:rPr>
          <w:sz w:val="20"/>
          <w:szCs w:val="20"/>
        </w:rPr>
        <w:t>Government of Canada. (2006).</w:t>
      </w:r>
      <w:r w:rsidRPr="005E585A">
        <w:rPr>
          <w:i/>
          <w:sz w:val="20"/>
          <w:szCs w:val="20"/>
        </w:rPr>
        <w:t xml:space="preserve"> </w:t>
      </w:r>
    </w:p>
  </w:endnote>
  <w:endnote w:id="34">
    <w:p w14:paraId="1CE41E30" w14:textId="77777777" w:rsidR="00E4004B" w:rsidRPr="005E585A" w:rsidRDefault="00E4004B">
      <w:pPr>
        <w:rPr>
          <w:sz w:val="20"/>
          <w:szCs w:val="20"/>
        </w:rPr>
      </w:pPr>
      <w:r w:rsidRPr="005E585A">
        <w:rPr>
          <w:sz w:val="20"/>
          <w:szCs w:val="20"/>
          <w:vertAlign w:val="superscript"/>
        </w:rPr>
        <w:endnoteRef/>
      </w:r>
      <w:r w:rsidRPr="005E585A">
        <w:rPr>
          <w:sz w:val="20"/>
          <w:szCs w:val="20"/>
        </w:rPr>
        <w:t xml:space="preserve"> </w:t>
      </w:r>
      <w:r w:rsidRPr="005E585A">
        <w:rPr>
          <w:color w:val="222222"/>
          <w:sz w:val="20"/>
          <w:szCs w:val="20"/>
          <w:highlight w:val="white"/>
        </w:rPr>
        <w:t xml:space="preserve">Weiler, R., Van Mechelen, W., Fuller, C., &amp; Verhagen, E. (2016). Sport injuries sustained by athletes with disability: a systematic review. </w:t>
      </w:r>
      <w:r w:rsidRPr="005E585A">
        <w:rPr>
          <w:i/>
          <w:color w:val="222222"/>
          <w:sz w:val="20"/>
          <w:szCs w:val="20"/>
        </w:rPr>
        <w:t>Sports medicine</w:t>
      </w:r>
      <w:r w:rsidRPr="005E585A">
        <w:rPr>
          <w:color w:val="222222"/>
          <w:sz w:val="20"/>
          <w:szCs w:val="20"/>
          <w:highlight w:val="white"/>
        </w:rPr>
        <w:t xml:space="preserve">, </w:t>
      </w:r>
      <w:r w:rsidRPr="005E585A">
        <w:rPr>
          <w:i/>
          <w:color w:val="222222"/>
          <w:sz w:val="20"/>
          <w:szCs w:val="20"/>
        </w:rPr>
        <w:t>46</w:t>
      </w:r>
      <w:r w:rsidRPr="005E585A">
        <w:rPr>
          <w:color w:val="222222"/>
          <w:sz w:val="20"/>
          <w:szCs w:val="20"/>
          <w:highlight w:val="white"/>
        </w:rPr>
        <w:t xml:space="preserve">, 1141-1153. </w:t>
      </w:r>
      <w:hyperlink r:id="rId23">
        <w:r w:rsidRPr="005E585A">
          <w:rPr>
            <w:color w:val="1155CC"/>
            <w:sz w:val="20"/>
            <w:szCs w:val="20"/>
            <w:u w:val="single"/>
          </w:rPr>
          <w:t>https://pmc.ncbi.nlm.nih.gov/articles/PMC4963442/</w:t>
        </w:r>
      </w:hyperlink>
      <w:r w:rsidRPr="005E585A">
        <w:rPr>
          <w:sz w:val="20"/>
          <w:szCs w:val="20"/>
        </w:rPr>
        <w:t xml:space="preserve"> </w:t>
      </w:r>
    </w:p>
  </w:endnote>
  <w:endnote w:id="35">
    <w:p w14:paraId="6E511235" w14:textId="77777777" w:rsidR="00E4004B" w:rsidRPr="005E585A" w:rsidRDefault="00E4004B">
      <w:pPr>
        <w:rPr>
          <w:sz w:val="20"/>
          <w:szCs w:val="20"/>
        </w:rPr>
      </w:pPr>
      <w:r w:rsidRPr="005E585A">
        <w:rPr>
          <w:sz w:val="20"/>
          <w:szCs w:val="20"/>
          <w:vertAlign w:val="superscript"/>
        </w:rPr>
        <w:endnoteRef/>
      </w:r>
      <w:r w:rsidRPr="005E585A">
        <w:rPr>
          <w:sz w:val="20"/>
          <w:szCs w:val="20"/>
        </w:rPr>
        <w:t xml:space="preserve"> King, K. 2022.  </w:t>
      </w:r>
      <w:r w:rsidRPr="005E585A">
        <w:rPr>
          <w:i/>
          <w:sz w:val="20"/>
          <w:szCs w:val="20"/>
        </w:rPr>
        <w:t xml:space="preserve">Acquired cognitive-communication disorders and post-concussion syndrome in sport: What you should know. </w:t>
      </w:r>
      <w:r w:rsidRPr="005E585A">
        <w:rPr>
          <w:sz w:val="20"/>
          <w:szCs w:val="20"/>
        </w:rPr>
        <w:t xml:space="preserve">SIRC.  </w:t>
      </w:r>
      <w:hyperlink r:id="rId24">
        <w:r w:rsidRPr="005E585A">
          <w:rPr>
            <w:color w:val="1155CC"/>
            <w:sz w:val="20"/>
            <w:szCs w:val="20"/>
            <w:u w:val="single"/>
          </w:rPr>
          <w:t>https://sirc.ca/articles/cognitive-communication-post-concussion-syndrome-in-sport/</w:t>
        </w:r>
      </w:hyperlink>
      <w:r w:rsidRPr="005E585A">
        <w:rPr>
          <w:sz w:val="20"/>
          <w:szCs w:val="20"/>
        </w:rPr>
        <w:t xml:space="preserve"> </w:t>
      </w:r>
    </w:p>
  </w:endnote>
  <w:endnote w:id="36">
    <w:p w14:paraId="25F856FB" w14:textId="77777777" w:rsidR="00E4004B" w:rsidRPr="005E585A" w:rsidRDefault="00E4004B">
      <w:pPr>
        <w:rPr>
          <w:sz w:val="20"/>
          <w:szCs w:val="20"/>
        </w:rPr>
      </w:pPr>
      <w:r w:rsidRPr="005E585A">
        <w:rPr>
          <w:sz w:val="20"/>
          <w:szCs w:val="20"/>
          <w:vertAlign w:val="superscript"/>
        </w:rPr>
        <w:endnoteRef/>
      </w:r>
      <w:r w:rsidRPr="005E585A">
        <w:rPr>
          <w:sz w:val="20"/>
          <w:szCs w:val="20"/>
        </w:rPr>
        <w:t xml:space="preserve"> Eales. (2022). </w:t>
      </w:r>
    </w:p>
  </w:endnote>
  <w:endnote w:id="37">
    <w:p w14:paraId="14A40389" w14:textId="77777777" w:rsidR="00E4004B" w:rsidRPr="005E585A" w:rsidRDefault="00E4004B">
      <w:pPr>
        <w:rPr>
          <w:sz w:val="20"/>
          <w:szCs w:val="20"/>
        </w:rPr>
      </w:pPr>
      <w:r w:rsidRPr="005E585A">
        <w:rPr>
          <w:sz w:val="20"/>
          <w:szCs w:val="20"/>
          <w:vertAlign w:val="superscript"/>
        </w:rPr>
        <w:endnoteRef/>
      </w:r>
      <w:r w:rsidRPr="005E585A">
        <w:rPr>
          <w:sz w:val="20"/>
          <w:szCs w:val="20"/>
        </w:rPr>
        <w:t xml:space="preserve"> U.S. Center for Safe Sport. 2021. </w:t>
      </w:r>
      <w:r w:rsidRPr="005E585A">
        <w:rPr>
          <w:i/>
          <w:sz w:val="20"/>
          <w:szCs w:val="20"/>
        </w:rPr>
        <w:t>2020 Athlete culture &amp; climate survey</w:t>
      </w:r>
      <w:r w:rsidRPr="005E585A">
        <w:rPr>
          <w:sz w:val="20"/>
          <w:szCs w:val="20"/>
        </w:rPr>
        <w:t xml:space="preserve">. </w:t>
      </w:r>
      <w:hyperlink r:id="rId25">
        <w:r w:rsidRPr="005E585A">
          <w:rPr>
            <w:color w:val="1155CC"/>
            <w:sz w:val="20"/>
            <w:szCs w:val="20"/>
            <w:u w:val="single"/>
          </w:rPr>
          <w:t>https://uscenterforsafesport.org/wp-content/uploads/2021/07/CultureClimateSurvey_ExternalReport_071421_Final.pdf</w:t>
        </w:r>
      </w:hyperlink>
      <w:r w:rsidRPr="005E585A">
        <w:rPr>
          <w:sz w:val="20"/>
          <w:szCs w:val="20"/>
        </w:rPr>
        <w:t xml:space="preserve">; </w:t>
      </w:r>
      <w:r w:rsidRPr="005E585A">
        <w:rPr>
          <w:color w:val="222222"/>
          <w:sz w:val="20"/>
          <w:szCs w:val="20"/>
          <w:highlight w:val="white"/>
        </w:rPr>
        <w:t xml:space="preserve">Vertommen, T., Schipper-van Veldhoven, N., Wouters, K., Kampen, J. K., Brackenridge, C. H., Rhind, D. J., &amp; Van Den Eede, F. (2016). Interpersonal violence against children in sport in the Netherlands and Belgium. </w:t>
      </w:r>
      <w:r w:rsidRPr="005E585A">
        <w:rPr>
          <w:i/>
          <w:color w:val="222222"/>
          <w:sz w:val="20"/>
          <w:szCs w:val="20"/>
        </w:rPr>
        <w:t>Child abuse &amp; neglect</w:t>
      </w:r>
      <w:r w:rsidRPr="005E585A">
        <w:rPr>
          <w:color w:val="222222"/>
          <w:sz w:val="20"/>
          <w:szCs w:val="20"/>
          <w:highlight w:val="white"/>
        </w:rPr>
        <w:t xml:space="preserve">, </w:t>
      </w:r>
      <w:r w:rsidRPr="005E585A">
        <w:rPr>
          <w:i/>
          <w:color w:val="222222"/>
          <w:sz w:val="20"/>
          <w:szCs w:val="20"/>
        </w:rPr>
        <w:t>51</w:t>
      </w:r>
      <w:r w:rsidRPr="005E585A">
        <w:rPr>
          <w:color w:val="222222"/>
          <w:sz w:val="20"/>
          <w:szCs w:val="20"/>
          <w:highlight w:val="white"/>
        </w:rPr>
        <w:t xml:space="preserve">, 223-236. </w:t>
      </w:r>
      <w:hyperlink r:id="rId26">
        <w:r w:rsidRPr="005E585A">
          <w:rPr>
            <w:color w:val="1155CC"/>
            <w:sz w:val="20"/>
            <w:szCs w:val="20"/>
            <w:highlight w:val="white"/>
            <w:u w:val="single"/>
          </w:rPr>
          <w:t>https://doi.org/10.1016/j.chiabu.2015.10.006</w:t>
        </w:r>
      </w:hyperlink>
    </w:p>
  </w:endnote>
  <w:endnote w:id="38">
    <w:p w14:paraId="73ED7EC7" w14:textId="77777777" w:rsidR="00E4004B" w:rsidRPr="005E585A" w:rsidRDefault="00E4004B">
      <w:pPr>
        <w:rPr>
          <w:sz w:val="20"/>
          <w:szCs w:val="20"/>
        </w:rPr>
      </w:pPr>
      <w:r w:rsidRPr="005E585A">
        <w:rPr>
          <w:sz w:val="20"/>
          <w:szCs w:val="20"/>
          <w:vertAlign w:val="superscript"/>
        </w:rPr>
        <w:endnoteRef/>
      </w:r>
      <w:r w:rsidRPr="005E585A">
        <w:rPr>
          <w:sz w:val="20"/>
          <w:szCs w:val="20"/>
        </w:rPr>
        <w:t xml:space="preserve"> Kerr, G., Willson, E., Stirling, A. </w:t>
      </w:r>
      <w:r w:rsidRPr="005E585A">
        <w:rPr>
          <w:i/>
          <w:sz w:val="20"/>
          <w:szCs w:val="20"/>
        </w:rPr>
        <w:t xml:space="preserve">Maltreatment in Canada: A focus on para-athletes. </w:t>
      </w:r>
      <w:r w:rsidRPr="005E585A">
        <w:rPr>
          <w:sz w:val="20"/>
          <w:szCs w:val="20"/>
        </w:rPr>
        <w:t xml:space="preserve">SIRC. </w:t>
      </w:r>
      <w:hyperlink r:id="rId27">
        <w:r w:rsidRPr="005E585A">
          <w:rPr>
            <w:color w:val="1155CC"/>
            <w:sz w:val="20"/>
            <w:szCs w:val="20"/>
            <w:u w:val="single"/>
          </w:rPr>
          <w:t>https://sirc.ca/wp-content/uploads/2020/02/Report-of-Para-Athletes-Experiences-of-Maltreatment_Oct21_2019.pdf</w:t>
        </w:r>
      </w:hyperlink>
    </w:p>
  </w:endnote>
  <w:endnote w:id="39">
    <w:p w14:paraId="79B30525" w14:textId="77777777" w:rsidR="00E4004B" w:rsidRPr="005E585A" w:rsidRDefault="00E4004B">
      <w:pPr>
        <w:rPr>
          <w:sz w:val="20"/>
          <w:szCs w:val="20"/>
        </w:rPr>
      </w:pPr>
      <w:r w:rsidRPr="005E585A">
        <w:rPr>
          <w:sz w:val="20"/>
          <w:szCs w:val="20"/>
          <w:vertAlign w:val="superscript"/>
        </w:rPr>
        <w:endnoteRef/>
      </w:r>
      <w:r w:rsidRPr="005E585A">
        <w:rPr>
          <w:sz w:val="20"/>
          <w:szCs w:val="20"/>
        </w:rPr>
        <w:t xml:space="preserve"> </w:t>
      </w:r>
      <w:r w:rsidRPr="005E585A">
        <w:rPr>
          <w:sz w:val="20"/>
          <w:szCs w:val="20"/>
          <w:highlight w:val="white"/>
        </w:rPr>
        <w:t xml:space="preserve">Peers, D., Konoval, T., &amp; Naturkach, R. (2019). (Un)imaginable (Para-)athletes: A discourse analysis of athletics websites in Canada. </w:t>
      </w:r>
      <w:r w:rsidRPr="005E585A">
        <w:rPr>
          <w:i/>
          <w:sz w:val="20"/>
          <w:szCs w:val="20"/>
          <w:highlight w:val="white"/>
        </w:rPr>
        <w:t xml:space="preserve">Adapted Physical Activity Quarterly, </w:t>
      </w:r>
      <w:r w:rsidRPr="005E585A">
        <w:rPr>
          <w:sz w:val="20"/>
          <w:szCs w:val="20"/>
          <w:highlight w:val="white"/>
        </w:rPr>
        <w:t xml:space="preserve">37(1), 112–128. </w:t>
      </w:r>
    </w:p>
  </w:endnote>
  <w:endnote w:id="40">
    <w:p w14:paraId="778E0A5E" w14:textId="77777777" w:rsidR="00E4004B" w:rsidRPr="005E585A" w:rsidRDefault="00E4004B">
      <w:pPr>
        <w:rPr>
          <w:sz w:val="20"/>
          <w:szCs w:val="20"/>
        </w:rPr>
      </w:pPr>
      <w:r w:rsidRPr="005E585A">
        <w:rPr>
          <w:sz w:val="20"/>
          <w:szCs w:val="20"/>
          <w:vertAlign w:val="superscript"/>
        </w:rPr>
        <w:endnoteRef/>
      </w:r>
      <w:r w:rsidRPr="005E585A">
        <w:rPr>
          <w:sz w:val="20"/>
          <w:szCs w:val="20"/>
        </w:rPr>
        <w:t xml:space="preserve"> Howe, D. (2008). </w:t>
      </w:r>
      <w:r w:rsidRPr="005E585A">
        <w:rPr>
          <w:i/>
          <w:sz w:val="20"/>
          <w:szCs w:val="20"/>
        </w:rPr>
        <w:t>The cultural politics of the Paralympic movement: Through an anthropological lens</w:t>
      </w:r>
      <w:r w:rsidRPr="005E585A">
        <w:rPr>
          <w:sz w:val="20"/>
          <w:szCs w:val="20"/>
        </w:rPr>
        <w:t>. Routledge.</w:t>
      </w:r>
    </w:p>
  </w:endnote>
  <w:endnote w:id="41">
    <w:p w14:paraId="6537F28F" w14:textId="513487DD" w:rsidR="00E4004B" w:rsidRPr="005E585A" w:rsidRDefault="00E4004B">
      <w:pPr>
        <w:rPr>
          <w:sz w:val="20"/>
          <w:szCs w:val="20"/>
        </w:rPr>
      </w:pPr>
      <w:r w:rsidRPr="005E585A">
        <w:rPr>
          <w:sz w:val="20"/>
          <w:szCs w:val="20"/>
          <w:vertAlign w:val="superscript"/>
        </w:rPr>
        <w:endnoteRef/>
      </w:r>
      <w:r w:rsidRPr="005E585A">
        <w:rPr>
          <w:sz w:val="20"/>
          <w:szCs w:val="20"/>
        </w:rPr>
        <w:t xml:space="preserve"> Masking is a coping and survival tool used by many individuals and communities who experience daily threat, discrimination and marginalization. It refers to the act of concealing and/or suppressing parts of oneself in order to “fit in” and navigate exclusionary physical and social structures. </w:t>
      </w:r>
    </w:p>
  </w:endnote>
  <w:endnote w:id="42">
    <w:p w14:paraId="100BFC26" w14:textId="77777777" w:rsidR="00E4004B" w:rsidRPr="005E585A" w:rsidRDefault="00E4004B">
      <w:pPr>
        <w:rPr>
          <w:sz w:val="20"/>
          <w:szCs w:val="20"/>
        </w:rPr>
      </w:pPr>
      <w:r w:rsidRPr="005E585A">
        <w:rPr>
          <w:sz w:val="20"/>
          <w:szCs w:val="20"/>
          <w:vertAlign w:val="superscript"/>
        </w:rPr>
        <w:endnoteRef/>
      </w:r>
      <w:r w:rsidRPr="005E585A">
        <w:rPr>
          <w:sz w:val="20"/>
          <w:szCs w:val="20"/>
        </w:rPr>
        <w:t xml:space="preserve"> Peers, D., Konoval, T., &amp; Marsh Naturkach, R. (2019). </w:t>
      </w:r>
    </w:p>
  </w:endnote>
  <w:endnote w:id="43">
    <w:p w14:paraId="49A3CFC0" w14:textId="77777777" w:rsidR="00E4004B" w:rsidRPr="005E585A" w:rsidRDefault="00E4004B">
      <w:pPr>
        <w:rPr>
          <w:sz w:val="20"/>
          <w:szCs w:val="20"/>
        </w:rPr>
      </w:pPr>
      <w:r w:rsidRPr="005E585A">
        <w:rPr>
          <w:sz w:val="20"/>
          <w:szCs w:val="20"/>
          <w:vertAlign w:val="superscript"/>
        </w:rPr>
        <w:endnoteRef/>
      </w:r>
      <w:r w:rsidRPr="005E585A">
        <w:rPr>
          <w:sz w:val="20"/>
          <w:szCs w:val="20"/>
        </w:rPr>
        <w:t xml:space="preserve"> Peers, D., Konoval, T., &amp; Marsh Naturkach, R. (2019). </w:t>
      </w:r>
    </w:p>
  </w:endnote>
  <w:endnote w:id="44">
    <w:p w14:paraId="6F1ED8EB" w14:textId="77777777" w:rsidR="0064640E" w:rsidRPr="005E585A" w:rsidRDefault="0064640E">
      <w:pPr>
        <w:pStyle w:val="EndnoteText"/>
        <w:rPr>
          <w:rFonts w:ascii="Times New Roman" w:hAnsi="Times New Roman" w:cs="Times New Roman"/>
          <w:color w:val="000000" w:themeColor="text1"/>
          <w:lang w:val="en-CA"/>
        </w:rPr>
      </w:pPr>
      <w:r w:rsidRPr="005E585A">
        <w:rPr>
          <w:rStyle w:val="EndnoteReference"/>
          <w:rFonts w:ascii="Times New Roman" w:hAnsi="Times New Roman" w:cs="Times New Roman"/>
        </w:rPr>
        <w:endnoteRef/>
      </w:r>
      <w:r w:rsidRPr="005E585A">
        <w:rPr>
          <w:rFonts w:ascii="Times New Roman" w:hAnsi="Times New Roman" w:cs="Times New Roman"/>
        </w:rPr>
        <w:t xml:space="preserve"> </w:t>
      </w:r>
      <w:r w:rsidRPr="005E585A">
        <w:rPr>
          <w:rFonts w:ascii="Times New Roman" w:hAnsi="Times New Roman" w:cs="Times New Roman"/>
          <w:color w:val="000000" w:themeColor="text1"/>
          <w:spacing w:val="3"/>
        </w:rPr>
        <w:t xml:space="preserve">Bassett-Gunter. R, McKinnon, A., Tristani, L., &amp; Larocca, V. (2023). </w:t>
      </w:r>
      <w:r w:rsidRPr="005E585A">
        <w:rPr>
          <w:rFonts w:ascii="Times New Roman" w:hAnsi="Times New Roman" w:cs="Times New Roman"/>
          <w:i/>
          <w:iCs/>
          <w:color w:val="000000" w:themeColor="text1"/>
          <w:spacing w:val="3"/>
        </w:rPr>
        <w:t>Evidence-informed recommendations: Tips and tricks for developing and disseminating physical activity information for families of children with disabilities</w:t>
      </w:r>
      <w:r w:rsidRPr="005E585A">
        <w:rPr>
          <w:rFonts w:ascii="Times New Roman" w:hAnsi="Times New Roman" w:cs="Times New Roman"/>
          <w:color w:val="000000" w:themeColor="text1"/>
          <w:spacing w:val="3"/>
        </w:rPr>
        <w:t>.</w:t>
      </w:r>
      <w:r w:rsidRPr="005E585A">
        <w:rPr>
          <w:rStyle w:val="apple-converted-space"/>
          <w:rFonts w:ascii="Times New Roman" w:hAnsi="Times New Roman" w:cs="Times New Roman"/>
          <w:color w:val="000000" w:themeColor="text1"/>
          <w:spacing w:val="3"/>
        </w:rPr>
        <w:t> </w:t>
      </w:r>
      <w:hyperlink r:id="rId28" w:tgtFrame="_blank" w:history="1">
        <w:r w:rsidRPr="005E585A">
          <w:rPr>
            <w:rStyle w:val="Hyperlink"/>
            <w:rFonts w:ascii="Times New Roman" w:hAnsi="Times New Roman" w:cs="Times New Roman"/>
            <w:color w:val="0B57D0"/>
            <w:spacing w:val="3"/>
          </w:rPr>
          <w:t>https://cdn.prod.website-files.com/60f07456bafa6070f8b4b8ae/65d63ca0e861e84b4d5a1a0f_Recommendations_Toolkit_English_Accessible.pdf</w:t>
        </w:r>
      </w:hyperlink>
      <w:r w:rsidRPr="005E585A">
        <w:rPr>
          <w:rFonts w:ascii="Times New Roman" w:hAnsi="Times New Roman" w:cs="Times New Roman"/>
        </w:rPr>
        <w:t xml:space="preserve">; </w:t>
      </w:r>
      <w:r w:rsidRPr="005E585A">
        <w:rPr>
          <w:rFonts w:ascii="Times New Roman" w:hAnsi="Times New Roman" w:cs="Times New Roman"/>
          <w:color w:val="000000" w:themeColor="text1"/>
          <w:spacing w:val="3"/>
        </w:rPr>
        <w:t xml:space="preserve">Bassett-Gunter, R., Tomasone, J., Latimer-Cheung, A., Arbour-Nicitopoulos, K., Disimino, K., Larocca, V., ... &amp; Allison, A. (2023). Evidence-informed recommendations for community-based organizations developing physical activity information targeting families of children and Youth with disabilities. </w:t>
      </w:r>
      <w:r w:rsidRPr="005E585A">
        <w:rPr>
          <w:rFonts w:ascii="Times New Roman" w:hAnsi="Times New Roman" w:cs="Times New Roman"/>
          <w:i/>
          <w:iCs/>
          <w:color w:val="000000" w:themeColor="text1"/>
          <w:spacing w:val="3"/>
        </w:rPr>
        <w:t>Adapted Physical Activity Quarterly</w:t>
      </w:r>
      <w:r w:rsidRPr="005E585A">
        <w:rPr>
          <w:rFonts w:ascii="Times New Roman" w:hAnsi="Times New Roman" w:cs="Times New Roman"/>
          <w:color w:val="000000" w:themeColor="text1"/>
          <w:spacing w:val="3"/>
        </w:rPr>
        <w:t>, 40(4), 707-722.</w:t>
      </w:r>
    </w:p>
  </w:endnote>
  <w:endnote w:id="45">
    <w:p w14:paraId="46637294" w14:textId="77777777" w:rsidR="00E4004B" w:rsidRPr="005E585A" w:rsidRDefault="00E4004B">
      <w:pPr>
        <w:rPr>
          <w:sz w:val="20"/>
          <w:szCs w:val="20"/>
        </w:rPr>
      </w:pPr>
      <w:r w:rsidRPr="005E585A">
        <w:rPr>
          <w:sz w:val="20"/>
          <w:szCs w:val="20"/>
          <w:vertAlign w:val="superscript"/>
        </w:rPr>
        <w:endnoteRef/>
      </w:r>
      <w:r w:rsidRPr="005E585A">
        <w:rPr>
          <w:sz w:val="20"/>
          <w:szCs w:val="20"/>
        </w:rPr>
        <w:t xml:space="preserve"> Nowak, S. (2024). </w:t>
      </w:r>
      <w:r w:rsidRPr="005E585A">
        <w:rPr>
          <w:rFonts w:eastAsia="Roboto"/>
          <w:sz w:val="20"/>
          <w:szCs w:val="20"/>
          <w:highlight w:val="white"/>
        </w:rPr>
        <w:t>Deaf student athletes’ experiences playing sports at a university for the Deaf   Gallaudet University ProQuest Dissertations &amp; Theses. 30990710.</w:t>
      </w:r>
    </w:p>
  </w:endnote>
  <w:endnote w:id="46">
    <w:p w14:paraId="779EE5AD" w14:textId="77777777" w:rsidR="00E4004B" w:rsidRPr="005E585A" w:rsidRDefault="00E4004B">
      <w:pPr>
        <w:rPr>
          <w:sz w:val="20"/>
          <w:szCs w:val="20"/>
        </w:rPr>
      </w:pPr>
      <w:r w:rsidRPr="005E585A">
        <w:rPr>
          <w:sz w:val="20"/>
          <w:szCs w:val="20"/>
          <w:vertAlign w:val="superscript"/>
        </w:rPr>
        <w:endnoteRef/>
      </w:r>
      <w:r w:rsidRPr="005E585A">
        <w:rPr>
          <w:sz w:val="20"/>
          <w:szCs w:val="20"/>
        </w:rPr>
        <w:t xml:space="preserve"> Dixon, S. (2023). </w:t>
      </w:r>
      <w:r w:rsidRPr="005E585A">
        <w:rPr>
          <w:iCs/>
          <w:sz w:val="20"/>
          <w:szCs w:val="20"/>
        </w:rPr>
        <w:t>Athletes’ experiences of addressing maltreatment through a reporting process: A critical narrative analysis as guided by trauma-informed practice</w:t>
      </w:r>
      <w:r w:rsidRPr="005E585A">
        <w:rPr>
          <w:sz w:val="20"/>
          <w:szCs w:val="20"/>
        </w:rPr>
        <w:t xml:space="preserve"> (Master's thesis, University of Toronto). </w:t>
      </w:r>
    </w:p>
  </w:endnote>
  <w:endnote w:id="47">
    <w:p w14:paraId="16470BE0" w14:textId="77777777" w:rsidR="00E4004B" w:rsidRPr="005E585A" w:rsidRDefault="00E4004B">
      <w:pPr>
        <w:rPr>
          <w:i/>
          <w:sz w:val="20"/>
          <w:szCs w:val="20"/>
        </w:rPr>
      </w:pPr>
      <w:r w:rsidRPr="005E585A">
        <w:rPr>
          <w:sz w:val="20"/>
          <w:szCs w:val="20"/>
          <w:vertAlign w:val="superscript"/>
        </w:rPr>
        <w:endnoteRef/>
      </w:r>
      <w:r w:rsidRPr="005E585A">
        <w:rPr>
          <w:sz w:val="20"/>
          <w:szCs w:val="20"/>
        </w:rPr>
        <w:t xml:space="preserve"> Gibson, C. (2021, July 20). Deaf-blind swimmer Becca Meyers is denied personal care assistant, withdraws from Tokyo Paralympics. </w:t>
      </w:r>
      <w:r w:rsidRPr="005E585A">
        <w:rPr>
          <w:i/>
          <w:sz w:val="20"/>
          <w:szCs w:val="20"/>
        </w:rPr>
        <w:t xml:space="preserve">ESPN. </w:t>
      </w:r>
    </w:p>
    <w:p w14:paraId="03A80DC1" w14:textId="77777777" w:rsidR="00E4004B" w:rsidRPr="005E585A" w:rsidRDefault="00000000">
      <w:pPr>
        <w:rPr>
          <w:sz w:val="20"/>
          <w:szCs w:val="20"/>
        </w:rPr>
      </w:pPr>
      <w:hyperlink r:id="rId29">
        <w:r w:rsidR="00E4004B" w:rsidRPr="005E585A">
          <w:rPr>
            <w:color w:val="0B57D0"/>
            <w:sz w:val="20"/>
            <w:szCs w:val="20"/>
          </w:rPr>
          <w:t>https://www.espn.co.uk/olympics/story/_/id/31848779/decorated-deaf-blind-swimmer-becca-meyers-denied-personal-care</w:t>
        </w:r>
      </w:hyperlink>
      <w:hyperlink r:id="rId30">
        <w:r w:rsidR="00E4004B" w:rsidRPr="005E585A">
          <w:rPr>
            <w:rFonts w:eastAsia="Roboto"/>
            <w:color w:val="0B57D0"/>
            <w:sz w:val="20"/>
            <w:szCs w:val="20"/>
          </w:rPr>
          <w:t>-assistant-withdraws-tokyo-paralympics</w:t>
        </w:r>
      </w:hyperlink>
    </w:p>
  </w:endnote>
  <w:endnote w:id="48">
    <w:p w14:paraId="012A3F63" w14:textId="77777777" w:rsidR="00E4004B" w:rsidRPr="005E585A" w:rsidRDefault="00E4004B">
      <w:pPr>
        <w:rPr>
          <w:color w:val="333333"/>
          <w:sz w:val="20"/>
          <w:szCs w:val="20"/>
          <w:highlight w:val="white"/>
        </w:rPr>
      </w:pPr>
      <w:r w:rsidRPr="005E585A">
        <w:rPr>
          <w:sz w:val="20"/>
          <w:szCs w:val="20"/>
          <w:vertAlign w:val="superscript"/>
        </w:rPr>
        <w:endnoteRef/>
      </w:r>
      <w:r w:rsidRPr="005E585A">
        <w:rPr>
          <w:sz w:val="20"/>
          <w:szCs w:val="20"/>
        </w:rPr>
        <w:t xml:space="preserve"> </w:t>
      </w:r>
      <w:r w:rsidRPr="005E585A">
        <w:rPr>
          <w:color w:val="333333"/>
          <w:sz w:val="20"/>
          <w:szCs w:val="20"/>
          <w:highlight w:val="white"/>
        </w:rPr>
        <w:t xml:space="preserve">Dixon. (2023); Gurgis, Kerr, G., &amp; Darnell, S. (2022). “Safe sport is not for everyone”: Equity-deserving athletes’ perspectives of, experiences and recommendations for safe sport. </w:t>
      </w:r>
      <w:r w:rsidRPr="005E585A">
        <w:rPr>
          <w:i/>
          <w:color w:val="333333"/>
          <w:sz w:val="20"/>
          <w:szCs w:val="20"/>
          <w:highlight w:val="white"/>
        </w:rPr>
        <w:t>Frontiers in Psychology</w:t>
      </w:r>
      <w:r w:rsidRPr="005E585A">
        <w:rPr>
          <w:color w:val="333333"/>
          <w:sz w:val="20"/>
          <w:szCs w:val="20"/>
          <w:highlight w:val="white"/>
        </w:rPr>
        <w:t xml:space="preserve">, </w:t>
      </w:r>
      <w:r w:rsidRPr="005E585A">
        <w:rPr>
          <w:i/>
          <w:color w:val="333333"/>
          <w:sz w:val="20"/>
          <w:szCs w:val="20"/>
          <w:highlight w:val="white"/>
        </w:rPr>
        <w:t>13</w:t>
      </w:r>
      <w:r w:rsidRPr="005E585A">
        <w:rPr>
          <w:color w:val="333333"/>
          <w:sz w:val="20"/>
          <w:szCs w:val="20"/>
          <w:highlight w:val="white"/>
        </w:rPr>
        <w:t>, 832560–832560.</w:t>
      </w:r>
      <w:hyperlink r:id="rId31">
        <w:r w:rsidRPr="005E585A">
          <w:rPr>
            <w:color w:val="333333"/>
            <w:sz w:val="20"/>
            <w:szCs w:val="20"/>
            <w:highlight w:val="white"/>
          </w:rPr>
          <w:t xml:space="preserve"> </w:t>
        </w:r>
      </w:hyperlink>
      <w:hyperlink r:id="rId32">
        <w:r w:rsidRPr="005E585A">
          <w:rPr>
            <w:color w:val="1155CC"/>
            <w:sz w:val="20"/>
            <w:szCs w:val="20"/>
            <w:highlight w:val="white"/>
            <w:u w:val="single"/>
          </w:rPr>
          <w:t>https://doi.org/10.3389/fpsyg.2022.832560</w:t>
        </w:r>
      </w:hyperlink>
    </w:p>
  </w:endnote>
  <w:endnote w:id="49">
    <w:p w14:paraId="51F188F7" w14:textId="77777777" w:rsidR="00E4004B" w:rsidRPr="005E585A" w:rsidRDefault="00E4004B">
      <w:pPr>
        <w:rPr>
          <w:sz w:val="20"/>
          <w:szCs w:val="20"/>
        </w:rPr>
      </w:pPr>
      <w:r w:rsidRPr="005E585A">
        <w:rPr>
          <w:sz w:val="20"/>
          <w:szCs w:val="20"/>
          <w:vertAlign w:val="superscript"/>
        </w:rPr>
        <w:endnoteRef/>
      </w:r>
      <w:r w:rsidRPr="005E585A">
        <w:rPr>
          <w:sz w:val="20"/>
          <w:szCs w:val="20"/>
        </w:rPr>
        <w:t xml:space="preserve"> The CAC does have a training module that has some of this important information available. The module, however, is voluntary- not required- and costs $15.</w:t>
      </w:r>
    </w:p>
  </w:endnote>
  <w:endnote w:id="50">
    <w:p w14:paraId="12A0417E" w14:textId="77777777" w:rsidR="00E4004B" w:rsidRPr="005E585A" w:rsidRDefault="00E4004B">
      <w:pPr>
        <w:rPr>
          <w:sz w:val="20"/>
          <w:szCs w:val="20"/>
        </w:rPr>
      </w:pPr>
      <w:r w:rsidRPr="005E585A">
        <w:rPr>
          <w:sz w:val="20"/>
          <w:szCs w:val="20"/>
          <w:vertAlign w:val="superscript"/>
        </w:rPr>
        <w:endnoteRef/>
      </w:r>
      <w:r w:rsidRPr="005E585A">
        <w:rPr>
          <w:sz w:val="20"/>
          <w:szCs w:val="20"/>
        </w:rPr>
        <w:t xml:space="preserve"> </w:t>
      </w:r>
      <w:r w:rsidRPr="005E585A">
        <w:rPr>
          <w:color w:val="222222"/>
          <w:sz w:val="20"/>
          <w:szCs w:val="20"/>
          <w:highlight w:val="white"/>
        </w:rPr>
        <w:t xml:space="preserve">Campbell, N., &amp; Brown, D. (2021). The ableism of athlete wellbeing support: Additional needs of the Paralympic athlete. In </w:t>
      </w:r>
      <w:r w:rsidRPr="005E585A">
        <w:rPr>
          <w:i/>
          <w:color w:val="222222"/>
          <w:sz w:val="20"/>
          <w:szCs w:val="20"/>
        </w:rPr>
        <w:t>Developing and Supporting Athlete Wellbeing</w:t>
      </w:r>
      <w:r w:rsidRPr="005E585A">
        <w:rPr>
          <w:color w:val="222222"/>
          <w:sz w:val="20"/>
          <w:szCs w:val="20"/>
          <w:highlight w:val="white"/>
        </w:rPr>
        <w:t xml:space="preserve"> (pp. 122-136). Routledge.</w:t>
      </w:r>
    </w:p>
  </w:endnote>
  <w:endnote w:id="51">
    <w:p w14:paraId="1AAA360D" w14:textId="77777777" w:rsidR="0064640E" w:rsidRPr="005E585A" w:rsidRDefault="0064640E">
      <w:pPr>
        <w:pStyle w:val="EndnoteText"/>
        <w:rPr>
          <w:rFonts w:ascii="Times New Roman" w:hAnsi="Times New Roman" w:cs="Times New Roman"/>
          <w:lang w:val="en-CA"/>
        </w:rPr>
      </w:pPr>
      <w:r w:rsidRPr="005E585A">
        <w:rPr>
          <w:rStyle w:val="EndnoteReference"/>
          <w:rFonts w:ascii="Times New Roman" w:hAnsi="Times New Roman" w:cs="Times New Roman"/>
        </w:rPr>
        <w:endnoteRef/>
      </w:r>
      <w:r w:rsidRPr="005E585A">
        <w:rPr>
          <w:rFonts w:ascii="Times New Roman" w:hAnsi="Times New Roman" w:cs="Times New Roman"/>
        </w:rPr>
        <w:t xml:space="preserve"> </w:t>
      </w:r>
      <w:r w:rsidRPr="005E585A">
        <w:rPr>
          <w:rFonts w:ascii="Times New Roman" w:hAnsi="Times New Roman" w:cs="Times New Roman"/>
          <w:color w:val="000000" w:themeColor="text1"/>
          <w:spacing w:val="3"/>
        </w:rPr>
        <w:t>Canadian Disability Participation Project &amp; Ontario Parasport Collective. (2023). An investigation of coaches’ and classifiers’ perceptions of working with athletes with a disability. Queen’s University, Kingston, ON</w:t>
      </w:r>
      <w:r w:rsidRPr="005E585A">
        <w:rPr>
          <w:rFonts w:ascii="Times New Roman" w:hAnsi="Times New Roman" w:cs="Times New Roman"/>
          <w:color w:val="444746"/>
          <w:spacing w:val="3"/>
        </w:rPr>
        <w:t>. </w:t>
      </w:r>
      <w:hyperlink r:id="rId33" w:tgtFrame="_blank" w:history="1">
        <w:r w:rsidRPr="005E585A">
          <w:rPr>
            <w:rStyle w:val="Hyperlink"/>
            <w:rFonts w:ascii="Times New Roman" w:hAnsi="Times New Roman" w:cs="Times New Roman"/>
            <w:color w:val="0B57D0"/>
            <w:spacing w:val="3"/>
          </w:rPr>
          <w:t>https://coacheson.wpenginepowered.com/wp-content/uploads/An-investigationof-coaches-and-classifiersperceptions-of-working-withathletes-with-a-disability-2023.pdf</w:t>
        </w:r>
      </w:hyperlink>
      <w:r w:rsidRPr="005E585A">
        <w:rPr>
          <w:rFonts w:ascii="Times New Roman" w:hAnsi="Times New Roman" w:cs="Times New Roman"/>
        </w:rPr>
        <w:t xml:space="preserve">; </w:t>
      </w:r>
      <w:r w:rsidRPr="005E585A">
        <w:rPr>
          <w:rFonts w:ascii="Times New Roman" w:hAnsi="Times New Roman" w:cs="Times New Roman"/>
          <w:color w:val="000000" w:themeColor="text1"/>
          <w:spacing w:val="3"/>
        </w:rPr>
        <w:t>Birchall, I., Lawson, J. A., Williams, T. L., &amp; Latimer-Cheung, A. E. (2023). What is a parasport coach’s role during athlete classification? Exploring how parasport coaches learn about classification and their role within this process. International Sport Coaching Journal, 11(2), 189-198.</w:t>
      </w:r>
    </w:p>
  </w:endnote>
  <w:endnote w:id="52">
    <w:p w14:paraId="775AE023" w14:textId="77777777" w:rsidR="00E4004B" w:rsidRPr="005E585A" w:rsidRDefault="00E4004B">
      <w:pPr>
        <w:rPr>
          <w:color w:val="000000" w:themeColor="text1"/>
          <w:sz w:val="20"/>
          <w:szCs w:val="20"/>
        </w:rPr>
      </w:pPr>
      <w:r w:rsidRPr="005E585A">
        <w:rPr>
          <w:sz w:val="20"/>
          <w:szCs w:val="20"/>
          <w:vertAlign w:val="superscript"/>
        </w:rPr>
        <w:endnoteRef/>
      </w:r>
      <w:r w:rsidRPr="005E585A">
        <w:rPr>
          <w:sz w:val="20"/>
          <w:szCs w:val="20"/>
        </w:rPr>
        <w:t xml:space="preserve"> </w:t>
      </w:r>
      <w:hyperlink r:id="rId34">
        <w:r w:rsidRPr="005E585A">
          <w:rPr>
            <w:color w:val="1155CC"/>
            <w:sz w:val="20"/>
            <w:szCs w:val="20"/>
            <w:highlight w:val="white"/>
            <w:u w:val="single"/>
          </w:rPr>
          <w:t>UBC poster with data</w:t>
        </w:r>
      </w:hyperlink>
      <w:r w:rsidRPr="005E585A">
        <w:rPr>
          <w:color w:val="333333"/>
          <w:sz w:val="20"/>
          <w:szCs w:val="20"/>
          <w:highlight w:val="white"/>
        </w:rPr>
        <w:t xml:space="preserve"> - </w:t>
      </w:r>
      <w:r w:rsidRPr="005E585A">
        <w:rPr>
          <w:color w:val="000000" w:themeColor="text1"/>
          <w:sz w:val="20"/>
          <w:szCs w:val="20"/>
          <w:highlight w:val="white"/>
        </w:rPr>
        <w:t>Stevenson, C. (in press). Retired para-athletes hold limited leadership roles within Canadian national sport organizations.</w:t>
      </w:r>
    </w:p>
  </w:endnote>
  <w:endnote w:id="53">
    <w:p w14:paraId="75FEEADA" w14:textId="77777777" w:rsidR="00E4004B" w:rsidRPr="005E585A" w:rsidRDefault="00E4004B">
      <w:pPr>
        <w:rPr>
          <w:sz w:val="20"/>
          <w:szCs w:val="20"/>
        </w:rPr>
      </w:pPr>
      <w:r w:rsidRPr="005E585A">
        <w:rPr>
          <w:color w:val="000000" w:themeColor="text1"/>
          <w:sz w:val="20"/>
          <w:szCs w:val="20"/>
          <w:vertAlign w:val="superscript"/>
        </w:rPr>
        <w:endnoteRef/>
      </w:r>
      <w:r w:rsidRPr="005E585A">
        <w:rPr>
          <w:color w:val="000000" w:themeColor="text1"/>
          <w:sz w:val="20"/>
          <w:szCs w:val="20"/>
        </w:rPr>
        <w:t xml:space="preserve"> </w:t>
      </w:r>
      <w:hyperlink r:id="rId35">
        <w:r w:rsidRPr="005E585A">
          <w:rPr>
            <w:color w:val="000000" w:themeColor="text1"/>
            <w:sz w:val="20"/>
            <w:szCs w:val="20"/>
            <w:highlight w:val="white"/>
            <w:u w:val="single"/>
          </w:rPr>
          <w:t>UBC poster with data</w:t>
        </w:r>
      </w:hyperlink>
      <w:r w:rsidRPr="005E585A">
        <w:rPr>
          <w:color w:val="000000" w:themeColor="text1"/>
          <w:sz w:val="20"/>
          <w:szCs w:val="20"/>
          <w:highlight w:val="white"/>
        </w:rPr>
        <w:t xml:space="preserve"> - Stevenson, C. (in press). </w:t>
      </w:r>
    </w:p>
  </w:endnote>
  <w:endnote w:id="54">
    <w:p w14:paraId="60983B8E" w14:textId="77777777" w:rsidR="00E4004B" w:rsidRPr="005E585A" w:rsidRDefault="00E4004B">
      <w:pPr>
        <w:rPr>
          <w:sz w:val="20"/>
          <w:szCs w:val="20"/>
        </w:rPr>
      </w:pPr>
      <w:r w:rsidRPr="005E585A">
        <w:rPr>
          <w:sz w:val="20"/>
          <w:szCs w:val="20"/>
          <w:vertAlign w:val="superscript"/>
        </w:rPr>
        <w:endnoteRef/>
      </w:r>
      <w:r w:rsidRPr="005E585A">
        <w:rPr>
          <w:sz w:val="20"/>
          <w:szCs w:val="20"/>
        </w:rPr>
        <w:t xml:space="preserve"> </w:t>
      </w:r>
      <w:r w:rsidRPr="005E585A">
        <w:rPr>
          <w:color w:val="222222"/>
          <w:sz w:val="20"/>
          <w:szCs w:val="20"/>
          <w:highlight w:val="white"/>
        </w:rPr>
        <w:t xml:space="preserve">Bundon, A., Ashfield, A., Smith, B., &amp; Goosey-Tolfrey, V. L. (2018). Struggling to stay and struggling to leave: The experiences of elite para-athletes at the end of their sport careers. </w:t>
      </w:r>
      <w:r w:rsidRPr="005E585A">
        <w:rPr>
          <w:i/>
          <w:color w:val="222222"/>
          <w:sz w:val="20"/>
          <w:szCs w:val="20"/>
          <w:highlight w:val="white"/>
        </w:rPr>
        <w:t>Psychology of Sport and Exercise</w:t>
      </w:r>
      <w:r w:rsidRPr="005E585A">
        <w:rPr>
          <w:color w:val="222222"/>
          <w:sz w:val="20"/>
          <w:szCs w:val="20"/>
          <w:highlight w:val="white"/>
        </w:rPr>
        <w:t xml:space="preserve">, </w:t>
      </w:r>
      <w:r w:rsidRPr="005E585A">
        <w:rPr>
          <w:i/>
          <w:color w:val="222222"/>
          <w:sz w:val="20"/>
          <w:szCs w:val="20"/>
          <w:highlight w:val="white"/>
        </w:rPr>
        <w:t>37</w:t>
      </w:r>
      <w:r w:rsidRPr="005E585A">
        <w:rPr>
          <w:color w:val="222222"/>
          <w:sz w:val="20"/>
          <w:szCs w:val="20"/>
          <w:highlight w:val="white"/>
        </w:rPr>
        <w:t>, 296-305.</w:t>
      </w:r>
    </w:p>
  </w:endnote>
  <w:endnote w:id="55">
    <w:p w14:paraId="5A591C16" w14:textId="77777777" w:rsidR="00E4004B" w:rsidRPr="005E585A" w:rsidRDefault="00E4004B">
      <w:pPr>
        <w:rPr>
          <w:sz w:val="20"/>
          <w:szCs w:val="20"/>
        </w:rPr>
      </w:pPr>
      <w:r w:rsidRPr="005E585A">
        <w:rPr>
          <w:sz w:val="20"/>
          <w:szCs w:val="20"/>
          <w:vertAlign w:val="superscript"/>
        </w:rPr>
        <w:endnoteRef/>
      </w:r>
      <w:r w:rsidRPr="005E585A">
        <w:rPr>
          <w:sz w:val="20"/>
          <w:szCs w:val="20"/>
        </w:rPr>
        <w:t xml:space="preserve"> </w:t>
      </w:r>
      <w:r w:rsidRPr="005E585A">
        <w:rPr>
          <w:color w:val="222222"/>
          <w:sz w:val="20"/>
          <w:szCs w:val="20"/>
          <w:highlight w:val="white"/>
        </w:rPr>
        <w:t xml:space="preserve">Mannella, S., &amp; Bundon, A. (2024). Building bridges: a Qualitative exploration of the athlete–guide partnership in high-performance parasport. </w:t>
      </w:r>
      <w:r w:rsidRPr="005E585A">
        <w:rPr>
          <w:i/>
          <w:color w:val="222222"/>
          <w:sz w:val="20"/>
          <w:szCs w:val="20"/>
          <w:highlight w:val="white"/>
        </w:rPr>
        <w:t>Qualitative Research in Sport, Exercise and Health</w:t>
      </w:r>
      <w:r w:rsidRPr="005E585A">
        <w:rPr>
          <w:color w:val="222222"/>
          <w:sz w:val="20"/>
          <w:szCs w:val="20"/>
          <w:highlight w:val="white"/>
        </w:rPr>
        <w:t xml:space="preserve">, </w:t>
      </w:r>
      <w:r w:rsidRPr="005E585A">
        <w:rPr>
          <w:i/>
          <w:color w:val="222222"/>
          <w:sz w:val="20"/>
          <w:szCs w:val="20"/>
          <w:highlight w:val="white"/>
        </w:rPr>
        <w:t>16</w:t>
      </w:r>
      <w:r w:rsidRPr="005E585A">
        <w:rPr>
          <w:color w:val="222222"/>
          <w:sz w:val="20"/>
          <w:szCs w:val="20"/>
          <w:highlight w:val="white"/>
        </w:rPr>
        <w:t>(2), 134-150</w:t>
      </w:r>
      <w:r w:rsidR="0064640E" w:rsidRPr="005E585A">
        <w:rPr>
          <w:color w:val="222222"/>
          <w:sz w:val="20"/>
          <w:szCs w:val="20"/>
        </w:rPr>
        <w:t xml:space="preserve">; </w:t>
      </w:r>
      <w:r w:rsidR="0064640E" w:rsidRPr="005E585A">
        <w:rPr>
          <w:color w:val="000000" w:themeColor="text1"/>
          <w:spacing w:val="3"/>
          <w:sz w:val="20"/>
          <w:szCs w:val="20"/>
        </w:rPr>
        <w:t>Lawson, J. A. (2020). Classification in Para Sport: Exploring Athletes’ and Classifiers’ Experiences with and Understanding of Classification (Doctoral dissertation, Queen's University (Canada)); Van Dornick, K., &amp; Spencer, N. L. (2020). What’s in a sport class? The classification experiences of paraswimmers. Adapted Physical Activity Quarterly, 37(1), 1-19.</w:t>
      </w:r>
    </w:p>
  </w:endnote>
  <w:endnote w:id="56">
    <w:p w14:paraId="211485D4" w14:textId="77777777" w:rsidR="00E4004B" w:rsidRPr="005E585A" w:rsidRDefault="00E4004B">
      <w:pPr>
        <w:rPr>
          <w:sz w:val="20"/>
          <w:szCs w:val="20"/>
        </w:rPr>
      </w:pPr>
      <w:r w:rsidRPr="005E585A">
        <w:rPr>
          <w:sz w:val="20"/>
          <w:szCs w:val="20"/>
          <w:vertAlign w:val="superscript"/>
        </w:rPr>
        <w:endnoteRef/>
      </w:r>
      <w:r w:rsidRPr="005E585A">
        <w:rPr>
          <w:sz w:val="20"/>
          <w:szCs w:val="20"/>
        </w:rPr>
        <w:t xml:space="preserve"> Gurgis, J., et al. (2022). </w:t>
      </w:r>
    </w:p>
  </w:endnote>
  <w:endnote w:id="57">
    <w:p w14:paraId="1A7871F0" w14:textId="77777777" w:rsidR="00E4004B" w:rsidRPr="005E585A" w:rsidRDefault="00E4004B">
      <w:pPr>
        <w:rPr>
          <w:sz w:val="20"/>
          <w:szCs w:val="20"/>
        </w:rPr>
      </w:pPr>
      <w:r w:rsidRPr="005E585A">
        <w:rPr>
          <w:sz w:val="20"/>
          <w:szCs w:val="20"/>
          <w:vertAlign w:val="superscript"/>
        </w:rPr>
        <w:endnoteRef/>
      </w:r>
      <w:r w:rsidRPr="005E585A">
        <w:rPr>
          <w:sz w:val="20"/>
          <w:szCs w:val="20"/>
        </w:rPr>
        <w:t xml:space="preserve"> Dixon, S. (2023). </w:t>
      </w:r>
    </w:p>
  </w:endnote>
  <w:endnote w:id="58">
    <w:p w14:paraId="16597323" w14:textId="77777777" w:rsidR="00E4004B" w:rsidRPr="005E585A" w:rsidRDefault="00E4004B">
      <w:pPr>
        <w:rPr>
          <w:sz w:val="20"/>
          <w:szCs w:val="20"/>
        </w:rPr>
      </w:pPr>
      <w:r w:rsidRPr="005E585A">
        <w:rPr>
          <w:sz w:val="20"/>
          <w:szCs w:val="20"/>
          <w:vertAlign w:val="superscript"/>
        </w:rPr>
        <w:endnoteRef/>
      </w:r>
      <w:r w:rsidRPr="005E585A">
        <w:rPr>
          <w:sz w:val="20"/>
          <w:szCs w:val="20"/>
        </w:rPr>
        <w:t xml:space="preserve"> For example, </w:t>
      </w:r>
      <w:r w:rsidRPr="005E585A">
        <w:rPr>
          <w:color w:val="333333"/>
          <w:sz w:val="20"/>
          <w:szCs w:val="20"/>
          <w:highlight w:val="white"/>
        </w:rPr>
        <w:t>classification can support perception changes about which bodies are deemed capable of participating in a given sport (e.g., a person without (all four) limbs can swim) which challenges social norms about who is “allowed” or expected to participate in sport</w:t>
      </w:r>
      <w:r w:rsidR="0064640E" w:rsidRPr="005E585A">
        <w:rPr>
          <w:color w:val="333333"/>
          <w:sz w:val="20"/>
          <w:szCs w:val="20"/>
        </w:rPr>
        <w:t xml:space="preserve">; </w:t>
      </w:r>
      <w:r w:rsidR="0064640E" w:rsidRPr="005E585A">
        <w:rPr>
          <w:color w:val="000000" w:themeColor="text1"/>
          <w:spacing w:val="3"/>
          <w:sz w:val="20"/>
          <w:szCs w:val="20"/>
        </w:rPr>
        <w:t>Lawson, J. A. (2020). Classification in Para Sport: Exploring Athletes’ and Classifiers’ Experiences with and Understanding of Classification (Doctoral dissertation, Queen's University (Canada)).</w:t>
      </w:r>
    </w:p>
  </w:endnote>
  <w:endnote w:id="59">
    <w:p w14:paraId="5FEBA18A" w14:textId="77777777" w:rsidR="00E4004B" w:rsidRPr="005E585A" w:rsidRDefault="00E4004B">
      <w:pPr>
        <w:rPr>
          <w:sz w:val="20"/>
          <w:szCs w:val="20"/>
        </w:rPr>
      </w:pPr>
      <w:r w:rsidRPr="005E585A">
        <w:rPr>
          <w:sz w:val="20"/>
          <w:szCs w:val="20"/>
          <w:vertAlign w:val="superscript"/>
        </w:rPr>
        <w:endnoteRef/>
      </w:r>
      <w:r w:rsidRPr="005E585A">
        <w:rPr>
          <w:sz w:val="20"/>
          <w:szCs w:val="20"/>
        </w:rPr>
        <w:t xml:space="preserve"> Howe, D. (2008). </w:t>
      </w:r>
      <w:r w:rsidRPr="005E585A">
        <w:rPr>
          <w:i/>
          <w:sz w:val="20"/>
          <w:szCs w:val="20"/>
        </w:rPr>
        <w:t>The cultural politics of the Paralympic movement: Through an anthropological lens</w:t>
      </w:r>
      <w:r w:rsidRPr="005E585A">
        <w:rPr>
          <w:sz w:val="20"/>
          <w:szCs w:val="20"/>
        </w:rPr>
        <w:t>. Routledge.</w:t>
      </w:r>
    </w:p>
  </w:endnote>
  <w:endnote w:id="60">
    <w:p w14:paraId="302ECDD3" w14:textId="77777777" w:rsidR="00E4004B" w:rsidRPr="005E585A" w:rsidRDefault="00E4004B">
      <w:pPr>
        <w:rPr>
          <w:sz w:val="20"/>
          <w:szCs w:val="20"/>
        </w:rPr>
      </w:pPr>
      <w:r w:rsidRPr="005E585A">
        <w:rPr>
          <w:sz w:val="20"/>
          <w:szCs w:val="20"/>
          <w:vertAlign w:val="superscript"/>
        </w:rPr>
        <w:endnoteRef/>
      </w:r>
      <w:r w:rsidRPr="005E585A">
        <w:rPr>
          <w:sz w:val="20"/>
          <w:szCs w:val="20"/>
        </w:rPr>
        <w:t xml:space="preserve"> </w:t>
      </w:r>
      <w:r w:rsidRPr="005E585A">
        <w:rPr>
          <w:color w:val="222222"/>
          <w:sz w:val="20"/>
          <w:szCs w:val="20"/>
          <w:highlight w:val="white"/>
        </w:rPr>
        <w:t xml:space="preserve">Bundon, A. (2019). Injury, pain and risk in the Paralympic movement. In </w:t>
      </w:r>
      <w:r w:rsidRPr="005E585A">
        <w:rPr>
          <w:i/>
          <w:color w:val="222222"/>
          <w:sz w:val="20"/>
          <w:szCs w:val="20"/>
        </w:rPr>
        <w:t>The suffering body in sport: Shifting thresholds of pain, risk and injury</w:t>
      </w:r>
      <w:r w:rsidRPr="005E585A">
        <w:rPr>
          <w:color w:val="222222"/>
          <w:sz w:val="20"/>
          <w:szCs w:val="20"/>
          <w:highlight w:val="white"/>
        </w:rPr>
        <w:t xml:space="preserve"> (pp. 71-87). Emerald Publishing Limited.</w:t>
      </w:r>
    </w:p>
  </w:endnote>
  <w:endnote w:id="61">
    <w:p w14:paraId="68B72DAC" w14:textId="77777777" w:rsidR="00E4004B" w:rsidRPr="005E585A" w:rsidRDefault="00E4004B">
      <w:pPr>
        <w:rPr>
          <w:sz w:val="20"/>
          <w:szCs w:val="20"/>
        </w:rPr>
      </w:pPr>
      <w:r w:rsidRPr="005E585A">
        <w:rPr>
          <w:sz w:val="20"/>
          <w:szCs w:val="20"/>
          <w:vertAlign w:val="superscript"/>
        </w:rPr>
        <w:endnoteRef/>
      </w:r>
      <w:r w:rsidRPr="005E585A">
        <w:rPr>
          <w:sz w:val="20"/>
          <w:szCs w:val="20"/>
        </w:rPr>
        <w:t xml:space="preserve"> Peers, D. (2012). Interrogating disability: the (de)composition of a recovering Paralympian. </w:t>
      </w:r>
      <w:r w:rsidRPr="005E585A">
        <w:rPr>
          <w:i/>
          <w:sz w:val="20"/>
          <w:szCs w:val="20"/>
        </w:rPr>
        <w:t>Qualitative Research in Sport, Exercise and Health</w:t>
      </w:r>
      <w:r w:rsidRPr="005E585A">
        <w:rPr>
          <w:sz w:val="20"/>
          <w:szCs w:val="20"/>
        </w:rPr>
        <w:t xml:space="preserve">, </w:t>
      </w:r>
      <w:r w:rsidRPr="005E585A">
        <w:rPr>
          <w:i/>
          <w:sz w:val="20"/>
          <w:szCs w:val="20"/>
        </w:rPr>
        <w:t>4</w:t>
      </w:r>
      <w:r w:rsidRPr="005E585A">
        <w:rPr>
          <w:sz w:val="20"/>
          <w:szCs w:val="20"/>
        </w:rPr>
        <w:t>(2), 175–188. https://doi.org/10.1080/2159676X.2012.685101</w:t>
      </w:r>
    </w:p>
  </w:endnote>
  <w:endnote w:id="62">
    <w:p w14:paraId="753AB193" w14:textId="77777777" w:rsidR="00E4004B" w:rsidRPr="005E585A" w:rsidRDefault="00E4004B">
      <w:pPr>
        <w:rPr>
          <w:sz w:val="20"/>
          <w:szCs w:val="20"/>
        </w:rPr>
      </w:pPr>
      <w:r w:rsidRPr="005E585A">
        <w:rPr>
          <w:sz w:val="20"/>
          <w:szCs w:val="20"/>
          <w:vertAlign w:val="superscript"/>
        </w:rPr>
        <w:endnoteRef/>
      </w:r>
      <w:r w:rsidRPr="005E585A">
        <w:rPr>
          <w:sz w:val="20"/>
          <w:szCs w:val="20"/>
        </w:rPr>
        <w:t xml:space="preserve"> </w:t>
      </w:r>
      <w:r w:rsidRPr="005E585A">
        <w:rPr>
          <w:color w:val="222222"/>
          <w:sz w:val="20"/>
          <w:szCs w:val="20"/>
          <w:highlight w:val="white"/>
        </w:rPr>
        <w:t xml:space="preserve">Howe, P. D. (2008). The tail is wagging the dog: Body culture, classification and the Paralympic movement. </w:t>
      </w:r>
      <w:r w:rsidRPr="005E585A">
        <w:rPr>
          <w:i/>
          <w:color w:val="222222"/>
          <w:sz w:val="20"/>
          <w:szCs w:val="20"/>
        </w:rPr>
        <w:t>Ethnography</w:t>
      </w:r>
      <w:r w:rsidRPr="005E585A">
        <w:rPr>
          <w:color w:val="222222"/>
          <w:sz w:val="20"/>
          <w:szCs w:val="20"/>
          <w:highlight w:val="white"/>
        </w:rPr>
        <w:t xml:space="preserve">, </w:t>
      </w:r>
      <w:r w:rsidRPr="005E585A">
        <w:rPr>
          <w:i/>
          <w:color w:val="222222"/>
          <w:sz w:val="20"/>
          <w:szCs w:val="20"/>
        </w:rPr>
        <w:t>9</w:t>
      </w:r>
      <w:r w:rsidRPr="005E585A">
        <w:rPr>
          <w:color w:val="222222"/>
          <w:sz w:val="20"/>
          <w:szCs w:val="20"/>
          <w:highlight w:val="white"/>
        </w:rPr>
        <w:t xml:space="preserve">(4), 499-517. </w:t>
      </w:r>
    </w:p>
  </w:endnote>
  <w:endnote w:id="63">
    <w:p w14:paraId="42474968" w14:textId="77777777" w:rsidR="00E4004B" w:rsidRPr="005E585A" w:rsidRDefault="00E4004B">
      <w:pPr>
        <w:rPr>
          <w:sz w:val="20"/>
          <w:szCs w:val="20"/>
        </w:rPr>
      </w:pPr>
      <w:r w:rsidRPr="005E585A">
        <w:rPr>
          <w:sz w:val="20"/>
          <w:szCs w:val="20"/>
          <w:vertAlign w:val="superscript"/>
        </w:rPr>
        <w:endnoteRef/>
      </w:r>
      <w:r w:rsidRPr="005E585A">
        <w:rPr>
          <w:sz w:val="20"/>
          <w:szCs w:val="20"/>
        </w:rPr>
        <w:t xml:space="preserve"> The medical model of disability is based on the assumption that disabled bodies and minds are objectively abnormal and problematic. </w:t>
      </w:r>
    </w:p>
  </w:endnote>
  <w:endnote w:id="64">
    <w:p w14:paraId="42652DDD" w14:textId="77777777" w:rsidR="00E4004B" w:rsidRPr="005E585A" w:rsidRDefault="00E4004B">
      <w:pPr>
        <w:rPr>
          <w:sz w:val="20"/>
          <w:szCs w:val="20"/>
        </w:rPr>
      </w:pPr>
      <w:r w:rsidRPr="005E585A">
        <w:rPr>
          <w:sz w:val="20"/>
          <w:szCs w:val="20"/>
          <w:vertAlign w:val="superscript"/>
        </w:rPr>
        <w:endnoteRef/>
      </w:r>
      <w:r w:rsidRPr="005E585A">
        <w:rPr>
          <w:sz w:val="20"/>
          <w:szCs w:val="20"/>
        </w:rPr>
        <w:t xml:space="preserve"> </w:t>
      </w:r>
      <w:r w:rsidRPr="005E585A">
        <w:rPr>
          <w:color w:val="222222"/>
          <w:sz w:val="20"/>
          <w:szCs w:val="20"/>
          <w:highlight w:val="white"/>
        </w:rPr>
        <w:t xml:space="preserve">Hall, M. F., &amp; Hall, S. E. (2013). When treatment becomes trauma: Defining, preventing, and transforming medical trauma. </w:t>
      </w:r>
      <w:r w:rsidRPr="005E585A">
        <w:rPr>
          <w:i/>
          <w:color w:val="222222"/>
          <w:sz w:val="20"/>
          <w:szCs w:val="20"/>
        </w:rPr>
        <w:t>VISTAS Online</w:t>
      </w:r>
      <w:r w:rsidRPr="005E585A">
        <w:rPr>
          <w:color w:val="222222"/>
          <w:sz w:val="20"/>
          <w:szCs w:val="20"/>
          <w:highlight w:val="white"/>
        </w:rPr>
        <w:t xml:space="preserve">, </w:t>
      </w:r>
      <w:r w:rsidRPr="005E585A">
        <w:rPr>
          <w:i/>
          <w:color w:val="222222"/>
          <w:sz w:val="20"/>
          <w:szCs w:val="20"/>
        </w:rPr>
        <w:t>73</w:t>
      </w:r>
      <w:r w:rsidRPr="005E585A">
        <w:rPr>
          <w:color w:val="222222"/>
          <w:sz w:val="20"/>
          <w:szCs w:val="20"/>
          <w:highlight w:val="white"/>
        </w:rPr>
        <w:t xml:space="preserve">(1), 1-15. </w:t>
      </w:r>
      <w:hyperlink r:id="rId36">
        <w:r w:rsidRPr="005E585A">
          <w:rPr>
            <w:color w:val="1155CC"/>
            <w:sz w:val="20"/>
            <w:szCs w:val="20"/>
            <w:highlight w:val="white"/>
            <w:u w:val="single"/>
          </w:rPr>
          <w:t>https://www.researchgate.net/profile/Scott-Hall-4/publication/315694234_When_Treatment_Becomes_Trauma_Defining_Preventing_and_Transforming_Medical_Trauma/links/58dc15dfa6fdcc7c9f2769c7/When-Treatment-Becomes-Trauma-Defining-Preventing-and-Transforming-Medical-Trauma.pdf</w:t>
        </w:r>
      </w:hyperlink>
    </w:p>
  </w:endnote>
  <w:endnote w:id="65">
    <w:p w14:paraId="744652EB" w14:textId="77777777" w:rsidR="008F101C" w:rsidRPr="005E585A" w:rsidRDefault="008F101C" w:rsidP="008F101C">
      <w:pPr>
        <w:autoSpaceDE w:val="0"/>
        <w:autoSpaceDN w:val="0"/>
        <w:adjustRightInd w:val="0"/>
        <w:rPr>
          <w:sz w:val="20"/>
          <w:szCs w:val="20"/>
          <w:lang w:val="en-US"/>
        </w:rPr>
      </w:pPr>
      <w:r w:rsidRPr="005E585A">
        <w:rPr>
          <w:rStyle w:val="EndnoteReference"/>
          <w:sz w:val="20"/>
          <w:szCs w:val="20"/>
        </w:rPr>
        <w:endnoteRef/>
      </w:r>
      <w:r w:rsidRPr="005E585A">
        <w:rPr>
          <w:sz w:val="20"/>
          <w:szCs w:val="20"/>
        </w:rPr>
        <w:t xml:space="preserve"> </w:t>
      </w:r>
      <w:r w:rsidRPr="005E585A">
        <w:rPr>
          <w:sz w:val="20"/>
          <w:szCs w:val="20"/>
          <w:lang w:val="en-US"/>
        </w:rPr>
        <w:t>Ginis, K. A. M., van der Ploeg, H. P., Foster, C., Lai, B., McBride, C. B., Ng, K., ... &amp; Heath, G. W. (2021). Participation of people living with disabilities in physical activity: a global perspective. The Lancet, 398(10298), 443-455; Arbour-Nicitopoulos, K. P., Kuzik, N., Vanderloo, L. M., Ginis, K. A. M., James, M. E., Bassett-Gunter, R. L., ... &amp; Latimer-Cheung, A. E. (2022). Expert appraisal of the 2022 Canadian Para report card on physical activity for children and adolescents with disabilities. Adapted Physical Activity Quarterly, 40(3), 465-474.</w:t>
      </w:r>
    </w:p>
    <w:p w14:paraId="6DFB9E20" w14:textId="77777777" w:rsidR="008F101C" w:rsidRPr="008F101C" w:rsidRDefault="008F101C">
      <w:pPr>
        <w:pStyle w:val="EndnoteText"/>
        <w:rPr>
          <w:lang w:val="en-CA"/>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embedRegular r:id="rId1" w:fontKey="{54592F60-F6C7-0C4C-96BE-2F9500BECB4B}"/>
    <w:embedBold r:id="rId2" w:fontKey="{8A5ED242-2F2A-D24C-A101-3939BEE76947}"/>
    <w:embedItalic r:id="rId3" w:fontKey="{878CA767-6922-544A-B30B-9123927636B8}"/>
    <w:embedBoldItalic r:id="rId4" w:fontKey="{296D4CBE-0E5A-AD4B-B63B-13F38D6D5A6B}"/>
  </w:font>
  <w:font w:name="Arial">
    <w:panose1 w:val="020B0604020202020204"/>
    <w:charset w:val="00"/>
    <w:family w:val="swiss"/>
    <w:pitch w:val="variable"/>
    <w:sig w:usb0="E0002AFF" w:usb1="C0007843" w:usb2="00000009" w:usb3="00000000" w:csb0="000001FF" w:csb1="00000000"/>
    <w:embedRegular r:id="rId5" w:fontKey="{CC04F548-4BBD-E640-9900-0E25D0971521}"/>
    <w:embedBold r:id="rId6" w:fontKey="{6F11D139-3CF0-E047-83A6-F65EF762DB4E}"/>
    <w:embedItalic r:id="rId7" w:fontKey="{56A72303-6484-1F4F-B908-594E5D9C7EAE}"/>
  </w:font>
  <w:font w:name="Roboto">
    <w:panose1 w:val="020B0604020202020204"/>
    <w:charset w:val="00"/>
    <w:family w:val="auto"/>
    <w:pitch w:val="variable"/>
    <w:sig w:usb0="E0000AFF" w:usb1="5000217F" w:usb2="00000021" w:usb3="00000000" w:csb0="0000019F" w:csb1="00000000"/>
    <w:embedRegular r:id="rId8" w:fontKey="{81FCD420-85C5-F042-A228-21054B23E344}"/>
    <w:embedBold r:id="rId9" w:fontKey="{3C580254-8532-394C-A2DD-7687BAFD7C84}"/>
  </w:font>
  <w:font w:name="Calibri">
    <w:panose1 w:val="020F0502020204030204"/>
    <w:charset w:val="00"/>
    <w:family w:val="swiss"/>
    <w:pitch w:val="variable"/>
    <w:sig w:usb0="E0002AFF" w:usb1="C000247B" w:usb2="00000009" w:usb3="00000000" w:csb0="000001FF" w:csb1="00000000"/>
    <w:embedRegular r:id="rId10" w:fontKey="{1AEA7F5C-EECA-2E4F-B6E5-BC5703C42850}"/>
    <w:embedBold r:id="rId11" w:fontKey="{182C473B-93C9-5041-958B-36BBAC06FA0D}"/>
    <w:embedItalic r:id="rId12" w:fontKey="{08691170-06BC-CD46-9463-A8E7D8AD88EF}"/>
  </w:font>
  <w:font w:name="Cambria">
    <w:panose1 w:val="02040503050406030204"/>
    <w:charset w:val="00"/>
    <w:family w:val="roman"/>
    <w:pitch w:val="variable"/>
    <w:sig w:usb0="E00002FF" w:usb1="400004FF" w:usb2="00000000" w:usb3="00000000" w:csb0="0000019F" w:csb1="00000000"/>
    <w:embedRegular r:id="rId13" w:fontKey="{9E2C2AF4-60A7-2A40-859C-133515FF52F9}"/>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562953" w14:textId="77777777" w:rsidR="000D2261" w:rsidRDefault="00000000">
    <w:pPr>
      <w:jc w:val="right"/>
    </w:pPr>
    <w:r>
      <w:fldChar w:fldCharType="begin"/>
    </w:r>
    <w:r>
      <w:instrText>PAGE</w:instrText>
    </w:r>
    <w:r>
      <w:fldChar w:fldCharType="separate"/>
    </w:r>
    <w:r w:rsidR="00E4004B">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93192D" w14:textId="77777777" w:rsidR="000C19D3" w:rsidRDefault="000C19D3">
      <w:r>
        <w:separator/>
      </w:r>
    </w:p>
  </w:footnote>
  <w:footnote w:type="continuationSeparator" w:id="0">
    <w:p w14:paraId="5C6D5173" w14:textId="77777777" w:rsidR="000C19D3" w:rsidRDefault="000C19D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006BB4"/>
    <w:multiLevelType w:val="multilevel"/>
    <w:tmpl w:val="370087D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44AA7D9C"/>
    <w:multiLevelType w:val="multilevel"/>
    <w:tmpl w:val="5C08248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77387C70"/>
    <w:multiLevelType w:val="multilevel"/>
    <w:tmpl w:val="331878A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7E4144AD"/>
    <w:multiLevelType w:val="multilevel"/>
    <w:tmpl w:val="A4C83A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680858452">
    <w:abstractNumId w:val="1"/>
  </w:num>
  <w:num w:numId="2" w16cid:durableId="335957694">
    <w:abstractNumId w:val="0"/>
  </w:num>
  <w:num w:numId="3" w16cid:durableId="1110396329">
    <w:abstractNumId w:val="2"/>
  </w:num>
  <w:num w:numId="4" w16cid:durableId="50856280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2"/>
  <w:embedTrueTypeFonts/>
  <w:proofState w:spelling="clean" w:grammar="clean"/>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2261"/>
    <w:rsid w:val="00042306"/>
    <w:rsid w:val="000A5049"/>
    <w:rsid w:val="000B6FA7"/>
    <w:rsid w:val="000C19D3"/>
    <w:rsid w:val="000D2261"/>
    <w:rsid w:val="000D7B1D"/>
    <w:rsid w:val="001000B8"/>
    <w:rsid w:val="001002A1"/>
    <w:rsid w:val="0011220C"/>
    <w:rsid w:val="00127C81"/>
    <w:rsid w:val="00140A2C"/>
    <w:rsid w:val="00147D87"/>
    <w:rsid w:val="00147F4D"/>
    <w:rsid w:val="00161AF5"/>
    <w:rsid w:val="001D070C"/>
    <w:rsid w:val="001E1B20"/>
    <w:rsid w:val="00223D0E"/>
    <w:rsid w:val="00242A00"/>
    <w:rsid w:val="002D387E"/>
    <w:rsid w:val="0038386E"/>
    <w:rsid w:val="00394AF0"/>
    <w:rsid w:val="00400B6C"/>
    <w:rsid w:val="00411926"/>
    <w:rsid w:val="00457267"/>
    <w:rsid w:val="004F7579"/>
    <w:rsid w:val="005168A7"/>
    <w:rsid w:val="005262B8"/>
    <w:rsid w:val="00543A85"/>
    <w:rsid w:val="00551EDB"/>
    <w:rsid w:val="005C164E"/>
    <w:rsid w:val="005E585A"/>
    <w:rsid w:val="0064640E"/>
    <w:rsid w:val="00654FBB"/>
    <w:rsid w:val="00693C87"/>
    <w:rsid w:val="006B4E1A"/>
    <w:rsid w:val="00707792"/>
    <w:rsid w:val="00713D72"/>
    <w:rsid w:val="00724062"/>
    <w:rsid w:val="0072736C"/>
    <w:rsid w:val="007942AB"/>
    <w:rsid w:val="008072C3"/>
    <w:rsid w:val="00875B9E"/>
    <w:rsid w:val="008F101C"/>
    <w:rsid w:val="00970C02"/>
    <w:rsid w:val="0097252D"/>
    <w:rsid w:val="009C392A"/>
    <w:rsid w:val="009D0C8A"/>
    <w:rsid w:val="009E2E00"/>
    <w:rsid w:val="00A05096"/>
    <w:rsid w:val="00A44F4E"/>
    <w:rsid w:val="00A53A73"/>
    <w:rsid w:val="00A75DEC"/>
    <w:rsid w:val="00AC40BD"/>
    <w:rsid w:val="00AC569A"/>
    <w:rsid w:val="00BC089B"/>
    <w:rsid w:val="00BC1031"/>
    <w:rsid w:val="00C30721"/>
    <w:rsid w:val="00C30CE5"/>
    <w:rsid w:val="00C377DF"/>
    <w:rsid w:val="00D33E7D"/>
    <w:rsid w:val="00D40093"/>
    <w:rsid w:val="00DC5F86"/>
    <w:rsid w:val="00E04D23"/>
    <w:rsid w:val="00E366D5"/>
    <w:rsid w:val="00E4004B"/>
    <w:rsid w:val="00E835E3"/>
    <w:rsid w:val="00EA1F4F"/>
    <w:rsid w:val="00F10C66"/>
    <w:rsid w:val="00F80CC6"/>
    <w:rsid w:val="00FB0C28"/>
    <w:rsid w:val="00FC01DD"/>
    <w:rsid w:val="00FF4121"/>
    <w:rsid w:val="0C95A06A"/>
    <w:rsid w:val="11386BCA"/>
    <w:rsid w:val="17A2EEC2"/>
    <w:rsid w:val="338D6D46"/>
    <w:rsid w:val="33D725CC"/>
    <w:rsid w:val="34BDC1AF"/>
    <w:rsid w:val="3D70305A"/>
    <w:rsid w:val="4439B8F0"/>
    <w:rsid w:val="466A0DB2"/>
    <w:rsid w:val="4D34932A"/>
    <w:rsid w:val="4E82761E"/>
    <w:rsid w:val="5C0ABAE2"/>
    <w:rsid w:val="5CDB0D28"/>
    <w:rsid w:val="60E8C2E0"/>
    <w:rsid w:val="67155DE0"/>
    <w:rsid w:val="6A6B6DE9"/>
    <w:rsid w:val="74C56229"/>
    <w:rsid w:val="7A6F291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7167AB37"/>
  <w15:docId w15:val="{ECB998A5-77FF-B64F-A7FC-C244E92933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1B20"/>
    <w:pPr>
      <w:spacing w:line="240" w:lineRule="auto"/>
    </w:pPr>
    <w:rPr>
      <w:rFonts w:ascii="Times New Roman" w:eastAsia="Times New Roman" w:hAnsi="Times New Roman" w:cs="Times New Roman"/>
      <w:sz w:val="24"/>
      <w:szCs w:val="24"/>
      <w:lang w:val="en-CA"/>
    </w:rPr>
  </w:style>
  <w:style w:type="paragraph" w:styleId="Heading1">
    <w:name w:val="heading 1"/>
    <w:basedOn w:val="Normal"/>
    <w:next w:val="Normal"/>
    <w:uiPriority w:val="9"/>
    <w:qFormat/>
    <w:pPr>
      <w:keepNext/>
      <w:keepLines/>
      <w:spacing w:before="400" w:after="120" w:line="276" w:lineRule="auto"/>
      <w:outlineLvl w:val="0"/>
    </w:pPr>
    <w:rPr>
      <w:rFonts w:ascii="Arial" w:eastAsia="Arial" w:hAnsi="Arial" w:cs="Arial"/>
      <w:sz w:val="40"/>
      <w:szCs w:val="40"/>
      <w:lang w:val="en"/>
    </w:rPr>
  </w:style>
  <w:style w:type="paragraph" w:styleId="Heading2">
    <w:name w:val="heading 2"/>
    <w:basedOn w:val="Normal"/>
    <w:next w:val="Normal"/>
    <w:uiPriority w:val="9"/>
    <w:unhideWhenUsed/>
    <w:qFormat/>
    <w:pPr>
      <w:keepNext/>
      <w:keepLines/>
      <w:spacing w:before="360" w:after="120" w:line="276" w:lineRule="auto"/>
      <w:outlineLvl w:val="1"/>
    </w:pPr>
    <w:rPr>
      <w:rFonts w:ascii="Arial" w:eastAsia="Arial" w:hAnsi="Arial" w:cs="Arial"/>
      <w:sz w:val="32"/>
      <w:szCs w:val="32"/>
      <w:lang w:val="en"/>
    </w:rPr>
  </w:style>
  <w:style w:type="paragraph" w:styleId="Heading3">
    <w:name w:val="heading 3"/>
    <w:basedOn w:val="Normal"/>
    <w:next w:val="Normal"/>
    <w:uiPriority w:val="9"/>
    <w:unhideWhenUsed/>
    <w:qFormat/>
    <w:pPr>
      <w:keepNext/>
      <w:keepLines/>
      <w:spacing w:before="320" w:after="80" w:line="276" w:lineRule="auto"/>
      <w:outlineLvl w:val="2"/>
    </w:pPr>
    <w:rPr>
      <w:rFonts w:ascii="Arial" w:eastAsia="Arial" w:hAnsi="Arial" w:cs="Arial"/>
      <w:color w:val="434343"/>
      <w:sz w:val="28"/>
      <w:szCs w:val="28"/>
      <w:lang w:val="en"/>
    </w:rPr>
  </w:style>
  <w:style w:type="paragraph" w:styleId="Heading4">
    <w:name w:val="heading 4"/>
    <w:basedOn w:val="Normal"/>
    <w:next w:val="Normal"/>
    <w:uiPriority w:val="9"/>
    <w:semiHidden/>
    <w:unhideWhenUsed/>
    <w:qFormat/>
    <w:pPr>
      <w:keepNext/>
      <w:keepLines/>
      <w:spacing w:before="280" w:after="80" w:line="276" w:lineRule="auto"/>
      <w:outlineLvl w:val="3"/>
    </w:pPr>
    <w:rPr>
      <w:rFonts w:ascii="Arial" w:eastAsia="Arial" w:hAnsi="Arial" w:cs="Arial"/>
      <w:color w:val="666666"/>
      <w:lang w:val="en"/>
    </w:rPr>
  </w:style>
  <w:style w:type="paragraph" w:styleId="Heading5">
    <w:name w:val="heading 5"/>
    <w:basedOn w:val="Normal"/>
    <w:next w:val="Normal"/>
    <w:uiPriority w:val="9"/>
    <w:semiHidden/>
    <w:unhideWhenUsed/>
    <w:qFormat/>
    <w:pPr>
      <w:keepNext/>
      <w:keepLines/>
      <w:spacing w:before="240" w:after="80" w:line="276" w:lineRule="auto"/>
      <w:outlineLvl w:val="4"/>
    </w:pPr>
    <w:rPr>
      <w:rFonts w:ascii="Arial" w:eastAsia="Arial" w:hAnsi="Arial" w:cs="Arial"/>
      <w:color w:val="666666"/>
      <w:sz w:val="22"/>
      <w:szCs w:val="22"/>
      <w:lang w:val="en"/>
    </w:rPr>
  </w:style>
  <w:style w:type="paragraph" w:styleId="Heading6">
    <w:name w:val="heading 6"/>
    <w:basedOn w:val="Normal"/>
    <w:next w:val="Normal"/>
    <w:uiPriority w:val="9"/>
    <w:semiHidden/>
    <w:unhideWhenUsed/>
    <w:qFormat/>
    <w:pPr>
      <w:keepNext/>
      <w:keepLines/>
      <w:spacing w:before="240" w:after="80" w:line="276" w:lineRule="auto"/>
      <w:outlineLvl w:val="5"/>
    </w:pPr>
    <w:rPr>
      <w:rFonts w:ascii="Arial" w:eastAsia="Arial" w:hAnsi="Arial" w:cs="Arial"/>
      <w:i/>
      <w:color w:val="666666"/>
      <w:sz w:val="22"/>
      <w:szCs w:val="22"/>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line="276" w:lineRule="auto"/>
    </w:pPr>
    <w:rPr>
      <w:rFonts w:ascii="Arial" w:eastAsia="Arial" w:hAnsi="Arial" w:cs="Arial"/>
      <w:sz w:val="52"/>
      <w:szCs w:val="52"/>
      <w:lang w:val="en"/>
    </w:rPr>
  </w:style>
  <w:style w:type="paragraph" w:styleId="Subtitle">
    <w:name w:val="Subtitle"/>
    <w:basedOn w:val="Normal"/>
    <w:next w:val="Normal"/>
    <w:uiPriority w:val="11"/>
    <w:qFormat/>
    <w:pPr>
      <w:keepNext/>
      <w:keepLines/>
      <w:spacing w:after="320" w:line="276" w:lineRule="auto"/>
    </w:pPr>
    <w:rPr>
      <w:rFonts w:ascii="Arial" w:eastAsia="Arial" w:hAnsi="Arial" w:cs="Arial"/>
      <w:color w:val="666666"/>
      <w:sz w:val="30"/>
      <w:szCs w:val="30"/>
      <w:lang w:val="en"/>
    </w:rPr>
  </w:style>
  <w:style w:type="paragraph" w:styleId="CommentText">
    <w:name w:val="annotation text"/>
    <w:basedOn w:val="Normal"/>
    <w:link w:val="CommentTextChar"/>
    <w:uiPriority w:val="99"/>
    <w:semiHidden/>
    <w:unhideWhenUsed/>
    <w:rPr>
      <w:rFonts w:ascii="Arial" w:eastAsia="Arial" w:hAnsi="Arial" w:cs="Arial"/>
      <w:sz w:val="20"/>
      <w:szCs w:val="20"/>
      <w:lang w:val="en"/>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FootnoteText">
    <w:name w:val="footnote text"/>
    <w:basedOn w:val="Normal"/>
    <w:link w:val="FootnoteTextChar"/>
    <w:uiPriority w:val="99"/>
    <w:semiHidden/>
    <w:unhideWhenUsed/>
    <w:rsid w:val="00E4004B"/>
    <w:rPr>
      <w:rFonts w:ascii="Arial" w:eastAsia="Arial" w:hAnsi="Arial" w:cs="Arial"/>
      <w:sz w:val="20"/>
      <w:szCs w:val="20"/>
      <w:lang w:val="en"/>
    </w:rPr>
  </w:style>
  <w:style w:type="character" w:customStyle="1" w:styleId="FootnoteTextChar">
    <w:name w:val="Footnote Text Char"/>
    <w:basedOn w:val="DefaultParagraphFont"/>
    <w:link w:val="FootnoteText"/>
    <w:uiPriority w:val="99"/>
    <w:semiHidden/>
    <w:rsid w:val="00E4004B"/>
    <w:rPr>
      <w:sz w:val="20"/>
      <w:szCs w:val="20"/>
    </w:rPr>
  </w:style>
  <w:style w:type="paragraph" w:styleId="EndnoteText">
    <w:name w:val="endnote text"/>
    <w:basedOn w:val="Normal"/>
    <w:link w:val="EndnoteTextChar"/>
    <w:uiPriority w:val="99"/>
    <w:semiHidden/>
    <w:unhideWhenUsed/>
    <w:rsid w:val="00E4004B"/>
    <w:rPr>
      <w:rFonts w:ascii="Arial" w:eastAsia="Arial" w:hAnsi="Arial" w:cs="Arial"/>
      <w:sz w:val="20"/>
      <w:szCs w:val="20"/>
      <w:lang w:val="en"/>
    </w:rPr>
  </w:style>
  <w:style w:type="character" w:customStyle="1" w:styleId="EndnoteTextChar">
    <w:name w:val="Endnote Text Char"/>
    <w:basedOn w:val="DefaultParagraphFont"/>
    <w:link w:val="EndnoteText"/>
    <w:uiPriority w:val="99"/>
    <w:semiHidden/>
    <w:rsid w:val="00E4004B"/>
    <w:rPr>
      <w:sz w:val="20"/>
      <w:szCs w:val="20"/>
    </w:rPr>
  </w:style>
  <w:style w:type="character" w:styleId="FootnoteReference">
    <w:name w:val="footnote reference"/>
    <w:basedOn w:val="DefaultParagraphFont"/>
    <w:uiPriority w:val="99"/>
    <w:semiHidden/>
    <w:unhideWhenUsed/>
    <w:rsid w:val="00E4004B"/>
    <w:rPr>
      <w:vertAlign w:val="superscript"/>
    </w:rPr>
  </w:style>
  <w:style w:type="character" w:styleId="EndnoteReference">
    <w:name w:val="endnote reference"/>
    <w:basedOn w:val="DefaultParagraphFont"/>
    <w:uiPriority w:val="99"/>
    <w:semiHidden/>
    <w:unhideWhenUsed/>
    <w:rsid w:val="00E4004B"/>
    <w:rPr>
      <w:vertAlign w:val="superscript"/>
    </w:rPr>
  </w:style>
  <w:style w:type="character" w:customStyle="1" w:styleId="apple-converted-space">
    <w:name w:val="apple-converted-space"/>
    <w:basedOn w:val="DefaultParagraphFont"/>
    <w:rsid w:val="00F80CC6"/>
  </w:style>
  <w:style w:type="character" w:styleId="Hyperlink">
    <w:name w:val="Hyperlink"/>
    <w:basedOn w:val="DefaultParagraphFont"/>
    <w:uiPriority w:val="99"/>
    <w:semiHidden/>
    <w:unhideWhenUsed/>
    <w:rsid w:val="00161AF5"/>
    <w:rPr>
      <w:color w:val="0000FF"/>
      <w:u w:val="single"/>
    </w:rPr>
  </w:style>
  <w:style w:type="character" w:styleId="FollowedHyperlink">
    <w:name w:val="FollowedHyperlink"/>
    <w:basedOn w:val="DefaultParagraphFont"/>
    <w:uiPriority w:val="99"/>
    <w:semiHidden/>
    <w:unhideWhenUsed/>
    <w:rsid w:val="005E585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3723999">
      <w:bodyDiv w:val="1"/>
      <w:marLeft w:val="0"/>
      <w:marRight w:val="0"/>
      <w:marTop w:val="0"/>
      <w:marBottom w:val="0"/>
      <w:divBdr>
        <w:top w:val="none" w:sz="0" w:space="0" w:color="auto"/>
        <w:left w:val="none" w:sz="0" w:space="0" w:color="auto"/>
        <w:bottom w:val="none" w:sz="0" w:space="0" w:color="auto"/>
        <w:right w:val="none" w:sz="0" w:space="0" w:color="auto"/>
      </w:divBdr>
      <w:divsChild>
        <w:div w:id="506332411">
          <w:marLeft w:val="0"/>
          <w:marRight w:val="0"/>
          <w:marTop w:val="0"/>
          <w:marBottom w:val="0"/>
          <w:divBdr>
            <w:top w:val="none" w:sz="0" w:space="0" w:color="auto"/>
            <w:left w:val="none" w:sz="0" w:space="0" w:color="auto"/>
            <w:bottom w:val="none" w:sz="0" w:space="0" w:color="auto"/>
            <w:right w:val="none" w:sz="0" w:space="0" w:color="auto"/>
          </w:divBdr>
        </w:div>
        <w:div w:id="569850442">
          <w:marLeft w:val="0"/>
          <w:marRight w:val="0"/>
          <w:marTop w:val="0"/>
          <w:marBottom w:val="0"/>
          <w:divBdr>
            <w:top w:val="none" w:sz="0" w:space="0" w:color="auto"/>
            <w:left w:val="none" w:sz="0" w:space="0" w:color="auto"/>
            <w:bottom w:val="none" w:sz="0" w:space="0" w:color="auto"/>
            <w:right w:val="none" w:sz="0" w:space="0" w:color="auto"/>
          </w:divBdr>
        </w:div>
      </w:divsChild>
    </w:div>
    <w:div w:id="1565875886">
      <w:bodyDiv w:val="1"/>
      <w:marLeft w:val="0"/>
      <w:marRight w:val="0"/>
      <w:marTop w:val="0"/>
      <w:marBottom w:val="0"/>
      <w:divBdr>
        <w:top w:val="none" w:sz="0" w:space="0" w:color="auto"/>
        <w:left w:val="none" w:sz="0" w:space="0" w:color="auto"/>
        <w:bottom w:val="none" w:sz="0" w:space="0" w:color="auto"/>
        <w:right w:val="none" w:sz="0" w:space="0" w:color="auto"/>
      </w:divBdr>
      <w:divsChild>
        <w:div w:id="810943774">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endnotes.xml.rels><?xml version="1.0" encoding="UTF-8" standalone="yes"?>
<Relationships xmlns="http://schemas.openxmlformats.org/package/2006/relationships"><Relationship Id="rId13" Type="http://schemas.openxmlformats.org/officeDocument/2006/relationships/hyperlink" Target="https://dawncanada.net/wp-content/uploads/2024/12/DAWN_Canada_Recommendations_for_the_NAP_to_end_GBV.pdf" TargetMode="External"/><Relationship Id="rId18" Type="http://schemas.openxmlformats.org/officeDocument/2006/relationships/hyperlink" Target="https://www.un.org/disabilities/documents/convention/convoptprot-e.pdf" TargetMode="External"/><Relationship Id="rId26" Type="http://schemas.openxmlformats.org/officeDocument/2006/relationships/hyperlink" Target="https://doi.org/10.1016/j.chiabu.2015.10.006" TargetMode="External"/><Relationship Id="rId3" Type="http://schemas.openxmlformats.org/officeDocument/2006/relationships/hyperlink" Target="https://www150.statcan.gc.ca/n1/pub/11-627-m/11-627-m2023063-eng.htm" TargetMode="External"/><Relationship Id="rId21" Type="http://schemas.openxmlformats.org/officeDocument/2006/relationships/hyperlink" Target="https://www.google.com/url?q=https://doi.org/10.1177/00380385251325452&amp;sa=D&amp;source=docs&amp;ust=1749567193765347&amp;usg=AOvVaw2MBzzDG5SnKJUrAWRkdKRn" TargetMode="External"/><Relationship Id="rId34" Type="http://schemas.openxmlformats.org/officeDocument/2006/relationships/hyperlink" Target="https://www.inclusive-experiences.ca/ubc-para-leaders" TargetMode="External"/><Relationship Id="rId7" Type="http://schemas.openxmlformats.org/officeDocument/2006/relationships/hyperlink" Target="https://www150.statcan.gc.ca/n1/pub/11-627-m/11-627-m2023063-eng.htm" TargetMode="External"/><Relationship Id="rId12" Type="http://schemas.openxmlformats.org/officeDocument/2006/relationships/hyperlink" Target="https://archdisabilitylaw.ca/focus-chrc-releases-complaint-rules/" TargetMode="External"/><Relationship Id="rId17" Type="http://schemas.openxmlformats.org/officeDocument/2006/relationships/hyperlink" Target="https://www.un.org/disabilities/documents/convention/convoptprot-e.pdf" TargetMode="External"/><Relationship Id="rId25" Type="http://schemas.openxmlformats.org/officeDocument/2006/relationships/hyperlink" Target="https://uscenterforsafesport.org/wp-content/uploads/2021/07/CultureClimateSurvey_ExternalReport_071421_Final.pdf" TargetMode="External"/><Relationship Id="rId33" Type="http://schemas.openxmlformats.org/officeDocument/2006/relationships/hyperlink" Target="https://www.google.com/url?q=https://coacheson.wpenginepowered.com/wp-content/uploads/An-investigationof-coaches-and-classifiersperceptions-of-working-withathletes-with-a-disability-2023.pdf&amp;sa=D&amp;source=docs&amp;ust=1744654600584561&amp;usg=AOvVaw107CfMRS40RYRHtCCfEdOM" TargetMode="External"/><Relationship Id="rId2" Type="http://schemas.openxmlformats.org/officeDocument/2006/relationships/hyperlink" Target="https://www150.statcan.gc.ca/n1/en/pub/89-654-x/89-654-x2023004-eng.pdf?st=Ggmqi2DT" TargetMode="External"/><Relationship Id="rId16" Type="http://schemas.openxmlformats.org/officeDocument/2006/relationships/hyperlink" Target="http://laws-lois.justice.gc.ca/eng/const/page-12.html" TargetMode="External"/><Relationship Id="rId20" Type="http://schemas.openxmlformats.org/officeDocument/2006/relationships/hyperlink" Target="https://assc-cdsa.com/en/sports/sports-committee/" TargetMode="External"/><Relationship Id="rId29" Type="http://schemas.openxmlformats.org/officeDocument/2006/relationships/hyperlink" Target="https://www.espn.co.uk/olympics/story/_/id/31848779/decorated-deaf-blind-swimmer-becca-meyers-denied-personal-care-assistant-withdraws-tokyo-paralympics" TargetMode="External"/><Relationship Id="rId1" Type="http://schemas.openxmlformats.org/officeDocument/2006/relationships/hyperlink" Target="https://www150.statcan.gc.ca/n1/pub/11-627-m/11-627-m2023063-eng.htm" TargetMode="External"/><Relationship Id="rId6" Type="http://schemas.openxmlformats.org/officeDocument/2006/relationships/hyperlink" Target="https://campaign2000.ca/wp-content/uploads/2024/12/Disability-Poverty-Report-Card-2024-English.pdf" TargetMode="External"/><Relationship Id="rId11" Type="http://schemas.openxmlformats.org/officeDocument/2006/relationships/hyperlink" Target="https://www150.statcan.gc.ca/n1/pub/89-654-x/89-654-x2022001-eng.htm" TargetMode="External"/><Relationship Id="rId24" Type="http://schemas.openxmlformats.org/officeDocument/2006/relationships/hyperlink" Target="https://sirc.ca/articles/cognitive-communication-post-concussion-syndrome-in-sport/" TargetMode="External"/><Relationship Id="rId32" Type="http://schemas.openxmlformats.org/officeDocument/2006/relationships/hyperlink" Target="https://doi.org/10.3389/fpsyg.2022.832560" TargetMode="External"/><Relationship Id="rId5" Type="http://schemas.openxmlformats.org/officeDocument/2006/relationships/hyperlink" Target="https://www150.statcan.gc.ca/n1/pub/11-627-m/11-627-m2023063-eng.htm" TargetMode="External"/><Relationship Id="rId15" Type="http://schemas.openxmlformats.org/officeDocument/2006/relationships/hyperlink" Target="https://www150.statcan.gc.ca/n1/daily-quotidien/220126/dq220126b-eng.htm" TargetMode="External"/><Relationship Id="rId23" Type="http://schemas.openxmlformats.org/officeDocument/2006/relationships/hyperlink" Target="https://pmc.ncbi.nlm.nih.gov/articles/PMC4963442/" TargetMode="External"/><Relationship Id="rId28" Type="http://schemas.openxmlformats.org/officeDocument/2006/relationships/hyperlink" Target="https://www.google.com/url?q=https://cdn.prod.website-files.com/60f07456bafa6070f8b4b8ae/65d63ca0e861e84b4d5a1a0f_Recommendations_Toolkit_English_Accessible.pdf&amp;sa=D&amp;source=docs&amp;ust=1744658567723621&amp;usg=AOvVaw0GRwnBAuezSgbJ00tmFT0O" TargetMode="External"/><Relationship Id="rId36" Type="http://schemas.openxmlformats.org/officeDocument/2006/relationships/hyperlink" Target="https://www.researchgate.net/profile/Scott-Hall-4/publication/315694234_When_Treatment_Becomes_Trauma_Defining_Preventing_and_Transforming_Medical_Trauma/links/58dc15dfa6fdcc7c9f2769c7/When-Treatment-Becomes-Trauma-Defining-Preventing-and-Transforming-Medical-Trauma.pdf" TargetMode="External"/><Relationship Id="rId10" Type="http://schemas.openxmlformats.org/officeDocument/2006/relationships/hyperlink" Target="https://homelesshub.ca/resource/social-determinants-health-care/" TargetMode="External"/><Relationship Id="rId19" Type="http://schemas.openxmlformats.org/officeDocument/2006/relationships/hyperlink" Target="https://www.google.com/url?q=https://cces.ca/canadian-safe-sport-program&amp;sa=D&amp;source=docs&amp;ust=1744661657402055&amp;usg=AOvVaw1xTzbhpcJFITNbLdiwFDtm" TargetMode="External"/><Relationship Id="rId31" Type="http://schemas.openxmlformats.org/officeDocument/2006/relationships/hyperlink" Target="https://doi.org/10.3389/fpsyg.2022.832560" TargetMode="External"/><Relationship Id="rId4" Type="http://schemas.openxmlformats.org/officeDocument/2006/relationships/hyperlink" Target="https://www150.statcan.gc.ca/n1/pub/11-627-m/11-627-m2022062-eng.htm" TargetMode="External"/><Relationship Id="rId9" Type="http://schemas.openxmlformats.org/officeDocument/2006/relationships/hyperlink" Target="https://dawncanada.net/wp-content/uploads/2025/02/CEDAW-REPORT.pdf" TargetMode="External"/><Relationship Id="rId14" Type="http://schemas.openxmlformats.org/officeDocument/2006/relationships/hyperlink" Target="https://www150.statcan.gc.ca/n1/daily-quotidien/220126/dq220126b-eng.htm" TargetMode="External"/><Relationship Id="rId22" Type="http://schemas.openxmlformats.org/officeDocument/2006/relationships/hyperlink" Target="https://www.taylorfrancis.com/chapters/edit/10.4324/9781003196747-8/adaptive-physical-activity-practices-perpetuate-perpetrate-trauma-mental-distress-lindsay-eales" TargetMode="External"/><Relationship Id="rId27" Type="http://schemas.openxmlformats.org/officeDocument/2006/relationships/hyperlink" Target="https://sirc.ca/wp-content/uploads/2020/02/Report-of-Para-Athletes-Experiences-of-Maltreatment_Oct21_2019.pdf" TargetMode="External"/><Relationship Id="rId30" Type="http://schemas.openxmlformats.org/officeDocument/2006/relationships/hyperlink" Target="https://www.espn.co.uk/olympics/story/_/id/31848779/decorated-deaf-blind-swimmer-becca-meyers-denied-personal-care-assistant-withdraws-tokyo-paralympics" TargetMode="External"/><Relationship Id="rId35" Type="http://schemas.openxmlformats.org/officeDocument/2006/relationships/hyperlink" Target="https://www.inclusive-experiences.ca/ubc-para-leaders" TargetMode="External"/><Relationship Id="rId8" Type="http://schemas.openxmlformats.org/officeDocument/2006/relationships/hyperlink" Target="https://www150.statcan.gc.ca/n1/pub/11-627-m/11-627-m2023063-eng.htm"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152CB9-6970-984D-9D69-8F92BCC870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TotalTime>
  <Pages>15</Pages>
  <Words>5982</Words>
  <Characters>34098</Characters>
  <Application>Microsoft Office Word</Application>
  <DocSecurity>0</DocSecurity>
  <Lines>284</Lines>
  <Paragraphs>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Stephanie Dixon</cp:lastModifiedBy>
  <cp:revision>33</cp:revision>
  <dcterms:created xsi:type="dcterms:W3CDTF">2025-06-09T09:50:00Z</dcterms:created>
  <dcterms:modified xsi:type="dcterms:W3CDTF">2025-06-10T15:23:00Z</dcterms:modified>
</cp:coreProperties>
</file>